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Cs/>
          <w:color w:val="000000"/>
          <w:sz w:val="36"/>
          <w:szCs w:val="36"/>
        </w:rPr>
      </w:pPr>
      <w:r>
        <w:rPr>
          <w:rFonts w:hint="eastAsia" w:ascii="黑体" w:hAnsi="黑体" w:eastAsia="黑体" w:cs="黑体"/>
          <w:bCs/>
          <w:color w:val="000000"/>
          <w:sz w:val="36"/>
          <w:szCs w:val="36"/>
        </w:rPr>
        <w:t>团体标准《甜瓜集约化嫁接育苗技术规程》</w:t>
      </w:r>
    </w:p>
    <w:p>
      <w:pPr>
        <w:jc w:val="center"/>
        <w:rPr>
          <w:rFonts w:ascii="黑体" w:hAnsi="黑体" w:eastAsia="黑体" w:cs="黑体"/>
          <w:bCs/>
          <w:sz w:val="36"/>
          <w:szCs w:val="36"/>
        </w:rPr>
      </w:pPr>
      <w:r>
        <w:rPr>
          <w:rFonts w:hint="eastAsia" w:ascii="黑体" w:hAnsi="黑体" w:eastAsia="黑体" w:cs="黑体"/>
          <w:bCs/>
          <w:color w:val="000000"/>
          <w:sz w:val="36"/>
          <w:szCs w:val="36"/>
        </w:rPr>
        <w:t>（送审稿）编制说明</w:t>
      </w:r>
    </w:p>
    <w:p>
      <w:pPr>
        <w:pStyle w:val="13"/>
        <w:numPr>
          <w:ilvl w:val="0"/>
          <w:numId w:val="3"/>
        </w:numPr>
        <w:adjustRightInd w:val="0"/>
        <w:snapToGrid w:val="0"/>
        <w:spacing w:line="360" w:lineRule="auto"/>
        <w:ind w:firstLineChars="0"/>
        <w:rPr>
          <w:rFonts w:ascii="黑体" w:hAnsi="黑体" w:eastAsia="黑体" w:cs="黑体"/>
          <w:bCs/>
          <w:sz w:val="32"/>
          <w:szCs w:val="32"/>
        </w:rPr>
      </w:pPr>
      <w:r>
        <w:rPr>
          <w:rFonts w:hint="eastAsia" w:ascii="黑体" w:hAnsi="黑体" w:eastAsia="黑体" w:cs="黑体"/>
          <w:bCs/>
          <w:sz w:val="32"/>
          <w:szCs w:val="32"/>
        </w:rPr>
        <w:t>项目来源</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根据《广西标准化协会关于下达2020年第三批团体标准制修订项目计划的通知》（桂标协﹝2020﹞</w:t>
      </w:r>
      <w:r>
        <w:rPr>
          <w:rFonts w:hint="eastAsia" w:ascii="仿宋_GB2312" w:hAnsi="宋体" w:eastAsia="仿宋_GB2312"/>
          <w:sz w:val="28"/>
          <w:szCs w:val="28"/>
        </w:rPr>
        <w:t>8</w:t>
      </w:r>
      <w:r>
        <w:rPr>
          <w:rFonts w:hint="eastAsia" w:ascii="仿宋_GB2312" w:hAnsi="宋体" w:eastAsia="仿宋_GB2312"/>
          <w:sz w:val="28"/>
          <w:szCs w:val="28"/>
          <w:lang w:val="zh-CN"/>
        </w:rPr>
        <w:t>号）精神，由广西壮族自治区农业科学院蔬菜研究所提出，广西大学和广西壮族自治区农业科学院蔬菜研究所共同负责起草的团体标准《甜瓜集约化嫁接育苗技术规程》。</w:t>
      </w:r>
    </w:p>
    <w:p>
      <w:pPr>
        <w:pStyle w:val="13"/>
        <w:numPr>
          <w:ilvl w:val="0"/>
          <w:numId w:val="3"/>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项目背景及目的意义</w:t>
      </w:r>
    </w:p>
    <w:p>
      <w:pPr>
        <w:autoSpaceDE w:val="0"/>
        <w:autoSpaceDN w:val="0"/>
        <w:adjustRightInd w:val="0"/>
        <w:ind w:firstLine="560" w:firstLineChars="200"/>
        <w:rPr>
          <w:rFonts w:ascii="仿宋_GB2312" w:hAnsi="宋体" w:eastAsia="仿宋_GB2312"/>
          <w:sz w:val="28"/>
          <w:szCs w:val="28"/>
        </w:rPr>
      </w:pPr>
      <w:r>
        <w:rPr>
          <w:rFonts w:hint="eastAsia" w:ascii="仿宋_GB2312" w:hAnsi="宋体" w:eastAsia="仿宋_GB2312"/>
          <w:sz w:val="28"/>
          <w:szCs w:val="28"/>
        </w:rPr>
        <w:t>甜瓜(Cucumis melo)，是葫芦科黄瓜属一年生匍匐或攀援草本。甜瓜是重要的特色水果作物，因其具有香甜浓郁的口感而深受消费者欢迎，据统计，我国2017年甜瓜种植面积高达348.82千公顷，是我国重要的园艺作物。但甜瓜在整个栽培过程中，容易遭受各种病害，对其产量和品质造成严重影响，其中，普遍发生、危害较大的主要甜瓜枯萎病和根结线虫等土传病害。目前，已有许多研究证实，嫁接可有效防治土传病害，克服连作障碍，近年来甜瓜嫁接栽培面积日益扩大，甜瓜嫁接苗集约化育苗需要日益突出。</w:t>
      </w:r>
    </w:p>
    <w:p>
      <w:pPr>
        <w:pStyle w:val="20"/>
        <w:ind w:firstLine="560" w:firstLineChars="200"/>
        <w:rPr>
          <w:rFonts w:hint="eastAsia" w:ascii="仿宋_GB2312" w:hAnsi="宋体" w:eastAsia="仿宋_GB2312"/>
          <w:sz w:val="28"/>
          <w:szCs w:val="28"/>
        </w:rPr>
      </w:pPr>
      <w:r>
        <w:rPr>
          <w:rFonts w:hint="eastAsia" w:ascii="仿宋_GB2312" w:hAnsi="宋体" w:eastAsia="仿宋_GB2312"/>
          <w:sz w:val="28"/>
          <w:szCs w:val="28"/>
        </w:rPr>
        <w:t>广西处于亚热带季风气候区，具有独特的气候优势条件，是我国甜瓜生产基地之一。自2000年以来，广西农业科学院致力于研究甜瓜嫁接育苗技术，筛选出适宜广西种植的甜瓜嫁接组合，提出了一套简易有效的薄皮甜瓜嫁接育苗技术和配套的管理措施，并在广西南宁、北海、百色、柳州、来宾、桂林等地区为薄皮甜瓜产区不断推广、广泛应用。但嫁接苗的生产比自根苗需要花费更多的时间、增加劳动成本，而且对嫁接设施环境有一定要求，农户自育的嫁接苗普遍存在成活率较低、苗情较差等问题。</w:t>
      </w:r>
      <w:r>
        <w:rPr>
          <w:rFonts w:hint="eastAsia" w:ascii="仿宋_GB2312" w:hAnsi="宋体" w:eastAsia="仿宋_GB2312"/>
          <w:kern w:val="2"/>
          <w:sz w:val="28"/>
          <w:szCs w:val="28"/>
        </w:rPr>
        <w:t>甜瓜集约化育苗是以穴盘基质育苗为基础，利用先进的育苗设施和设备将现代生物技术、环境调控技术、灌溉技术、管理技术贯穿育苗的整个过程，以现代化、企业化的模式组织育苗生产和经营，从而实现规模化育苗。这种育苗方式采用自动化（或人工）播种并集中育苗，节省人力物力，穴盘苗质量轻且基质保水保肥能力强，适宜长途运输，成苗率高，定植后不伤根，无缓苗期，抗逆性强，具有显著的节本增效作用。</w:t>
      </w:r>
      <w:r>
        <w:rPr>
          <w:rFonts w:hint="eastAsia" w:ascii="仿宋_GB2312" w:hAnsi="宋体" w:eastAsia="仿宋_GB2312"/>
          <w:sz w:val="28"/>
          <w:szCs w:val="28"/>
        </w:rPr>
        <w:t>集约化、高效生产优质甜瓜嫁接苗的技术标准的缺乏已经限制了广西甜瓜嫁接栽培在生产上的应用。</w:t>
      </w:r>
    </w:p>
    <w:p>
      <w:pPr>
        <w:pStyle w:val="20"/>
        <w:ind w:firstLine="560" w:firstLineChars="200"/>
        <w:rPr>
          <w:rFonts w:ascii="仿宋_GB2312" w:hAnsi="宋体" w:eastAsia="仿宋_GB2312"/>
          <w:kern w:val="2"/>
          <w:sz w:val="28"/>
          <w:szCs w:val="28"/>
        </w:rPr>
      </w:pPr>
      <w:r>
        <w:rPr>
          <w:rFonts w:hint="eastAsia" w:ascii="仿宋_GB2312" w:hAnsi="宋体" w:eastAsia="仿宋_GB2312"/>
          <w:sz w:val="28"/>
          <w:szCs w:val="28"/>
        </w:rPr>
        <w:t>因此，通过制定符合广西种植情况的《甜瓜集约化嫁接育苗技术规程》，统一规范薄皮甜瓜集约化嫁接育苗的有关术语和定义、集约化育苗设施设备、砧木和接穗育苗、插接法嫁接技术和管理、成品苗标准和包装运输，更好的保证了甜瓜嫁接苗规模化的生产，批量生产长势一致、质量优良的壮苗，保证广西甜瓜产业的稳定发展。</w:t>
      </w:r>
    </w:p>
    <w:p>
      <w:pPr>
        <w:pStyle w:val="13"/>
        <w:numPr>
          <w:ilvl w:val="0"/>
          <w:numId w:val="3"/>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标准编制过程</w:t>
      </w:r>
    </w:p>
    <w:p>
      <w:pPr>
        <w:adjustRightInd w:val="0"/>
        <w:snapToGrid w:val="0"/>
        <w:spacing w:beforeLines="50" w:line="360" w:lineRule="auto"/>
        <w:ind w:left="504"/>
        <w:rPr>
          <w:rFonts w:ascii="黑体" w:hAnsi="黑体" w:eastAsia="黑体" w:cs="黑体"/>
          <w:bCs/>
          <w:sz w:val="32"/>
          <w:szCs w:val="32"/>
        </w:rPr>
      </w:pPr>
      <w:r>
        <w:rPr>
          <w:rFonts w:hint="eastAsia" w:ascii="仿宋_GB2312" w:hAnsi="仿宋_GB2312" w:eastAsia="仿宋_GB2312" w:cs="仿宋_GB2312"/>
          <w:b/>
          <w:sz w:val="28"/>
          <w:szCs w:val="28"/>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w:t>
      </w:r>
      <w:r>
        <w:rPr>
          <w:rFonts w:hint="eastAsia" w:ascii="仿宋_GB2312" w:hAnsi="宋体" w:eastAsia="仿宋_GB2312"/>
          <w:sz w:val="28"/>
          <w:szCs w:val="28"/>
          <w:lang w:val="zh-CN"/>
        </w:rPr>
        <w:t>甜瓜集约化嫁接育苗技术规程</w:t>
      </w:r>
      <w:r>
        <w:rPr>
          <w:rFonts w:hint="eastAsia" w:ascii="仿宋_GB2312" w:hAnsi="宋体" w:eastAsia="仿宋_GB2312"/>
          <w:sz w:val="28"/>
          <w:szCs w:val="28"/>
        </w:rPr>
        <w:t>》项目任务下达后，成立了标准编制工作组，制定了标准编写方案，明确任务职责，确定工作技术路线，开展标准研制工作，具体标准编制工作由</w:t>
      </w:r>
      <w:r>
        <w:rPr>
          <w:rFonts w:hint="eastAsia" w:ascii="仿宋_GB2312" w:hAnsi="宋体" w:eastAsia="仿宋_GB2312"/>
          <w:sz w:val="28"/>
          <w:szCs w:val="28"/>
          <w:lang w:val="zh-CN"/>
        </w:rPr>
        <w:t>广西大学和广西壮族自治区农业科学院蔬菜研究所</w:t>
      </w:r>
      <w:r>
        <w:rPr>
          <w:rFonts w:hint="eastAsia" w:ascii="仿宋_GB2312" w:hAnsi="宋体" w:eastAsia="仿宋_GB2312"/>
          <w:sz w:val="28"/>
          <w:szCs w:val="28"/>
        </w:rPr>
        <w:t>相关人员配合。</w:t>
      </w:r>
    </w:p>
    <w:p>
      <w:pPr>
        <w:spacing w:beforeLines="50" w:afterLines="50"/>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（二）收集整理文献资料</w:t>
      </w:r>
    </w:p>
    <w:p>
      <w:pPr>
        <w:ind w:firstLine="560" w:firstLineChars="200"/>
        <w:rPr>
          <w:rFonts w:ascii="仿宋_GB2312" w:hAnsi="宋体" w:eastAsia="仿宋_GB2312"/>
          <w:sz w:val="28"/>
          <w:szCs w:val="28"/>
        </w:rPr>
      </w:pPr>
      <w:r>
        <w:rPr>
          <w:rFonts w:hint="eastAsia" w:ascii="仿宋_GB2312" w:hAnsi="宋体" w:eastAsia="仿宋_GB2312"/>
          <w:sz w:val="28"/>
          <w:szCs w:val="28"/>
        </w:rPr>
        <w:t xml:space="preserve">目前国内关于《甜瓜集约化嫁接育苗技术规程》标准还未见相关报道，通过查阅参考了目前甜瓜常规嫁接的标准，具体列出如下： </w:t>
      </w:r>
    </w:p>
    <w:p>
      <w:pPr>
        <w:pStyle w:val="14"/>
        <w:ind w:firstLine="560"/>
        <w:rPr>
          <w:rFonts w:ascii="仿宋_GB2312" w:hAnsi="宋体" w:eastAsia="仿宋_GB2312"/>
          <w:kern w:val="2"/>
          <w:sz w:val="28"/>
          <w:szCs w:val="28"/>
        </w:rPr>
      </w:pPr>
      <w:r>
        <w:rPr>
          <w:rFonts w:hint="eastAsia" w:ascii="仿宋_GB2312" w:hAnsi="宋体" w:eastAsia="仿宋_GB2312"/>
          <w:kern w:val="2"/>
          <w:sz w:val="28"/>
          <w:szCs w:val="28"/>
        </w:rPr>
        <w:t>DB45/T 1969  甜瓜嫁接苗生产技术规程</w:t>
      </w:r>
    </w:p>
    <w:p>
      <w:pPr>
        <w:spacing w:beforeLines="50" w:afterLines="50"/>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ind w:firstLine="560" w:firstLineChars="200"/>
        <w:rPr>
          <w:rFonts w:ascii="仿宋_GB2312" w:hAnsi="宋体" w:eastAsia="仿宋_GB2312"/>
          <w:sz w:val="32"/>
          <w:szCs w:val="32"/>
          <w:lang w:val="zh-CN"/>
        </w:rPr>
      </w:pPr>
      <w:r>
        <w:rPr>
          <w:rFonts w:hint="eastAsia" w:ascii="仿宋_GB2312" w:hAnsi="宋体" w:eastAsia="仿宋_GB2312"/>
          <w:sz w:val="28"/>
          <w:szCs w:val="28"/>
        </w:rPr>
        <w:t>标准编制工作组在对收集的资料进行整理研究之后，标准编制工作组召开了标准编制会议，对标准的整体框架结构进行了研究，并对标准的关键性内容进行了初步探讨。经过研究，标准的主体内容确定为术语和定义、育苗环境、设施设备、消毒、品种选择及种子处理、播种育苗、嫁接、嫁接后管理、出圃、生产档案。</w:t>
      </w:r>
    </w:p>
    <w:p>
      <w:pPr>
        <w:spacing w:line="60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（四）调研、形成文本草案、征求意见稿</w:t>
      </w:r>
    </w:p>
    <w:p>
      <w:pPr>
        <w:ind w:firstLine="560" w:firstLineChars="200"/>
        <w:rPr>
          <w:rFonts w:ascii="仿宋_GB2312" w:hAnsi="宋体" w:eastAsia="仿宋_GB2312"/>
          <w:sz w:val="28"/>
          <w:szCs w:val="28"/>
        </w:rPr>
      </w:pPr>
      <w:r>
        <w:rPr>
          <w:rFonts w:hint="eastAsia" w:ascii="仿宋_GB2312" w:hAnsi="宋体" w:eastAsia="仿宋_GB2312"/>
          <w:sz w:val="28"/>
          <w:szCs w:val="28"/>
        </w:rPr>
        <w:t>2020年4月，标准起草工作小组进行了广泛实地调研工作，查阅了大量的国内外文献资料，对甜瓜嫁接育苗技术进行系统总结，经编制组反复讨论，形成了标准的基本构架，对主要内容进行了讨论并对项目的工作进行了部署和安排。</w:t>
      </w:r>
    </w:p>
    <w:p>
      <w:pPr>
        <w:ind w:firstLine="560" w:firstLineChars="200"/>
        <w:rPr>
          <w:rFonts w:ascii="仿宋_GB2312" w:hAnsi="宋体" w:eastAsia="仿宋_GB2312"/>
          <w:sz w:val="28"/>
          <w:szCs w:val="28"/>
        </w:rPr>
      </w:pPr>
      <w:r>
        <w:rPr>
          <w:rFonts w:hint="eastAsia" w:ascii="仿宋_GB2312" w:hAnsi="宋体" w:eastAsia="仿宋_GB2312"/>
          <w:sz w:val="28"/>
          <w:szCs w:val="28"/>
        </w:rPr>
        <w:t>2020年5月</w:t>
      </w:r>
      <w:r>
        <w:rPr>
          <w:rFonts w:hint="eastAsia" w:ascii="宋体" w:hAnsi="宋体"/>
          <w:sz w:val="28"/>
          <w:szCs w:val="28"/>
        </w:rPr>
        <w:t>～</w:t>
      </w:r>
      <w:r>
        <w:rPr>
          <w:rFonts w:hint="eastAsia" w:ascii="仿宋_GB2312" w:hAnsi="宋体" w:eastAsia="仿宋_GB2312"/>
          <w:sz w:val="28"/>
          <w:szCs w:val="28"/>
        </w:rPr>
        <w:t>7月，在前期工作的基础之上，通过理清逻辑脉络，整合已有的参考资料中有关甜瓜嫁接育苗技术，并结合区内甜瓜集约化嫁接育苗实际要求的基础上，按照简化、统一等原则编制完成团体标准《甜瓜集约化嫁接育苗技术规程》（草案）。</w:t>
      </w:r>
    </w:p>
    <w:p>
      <w:pPr>
        <w:ind w:firstLine="560" w:firstLineChars="200"/>
        <w:rPr>
          <w:rFonts w:ascii="仿宋_GB2312" w:hAnsi="宋体" w:eastAsia="仿宋_GB2312"/>
          <w:sz w:val="28"/>
          <w:szCs w:val="28"/>
        </w:rPr>
      </w:pPr>
      <w:r>
        <w:rPr>
          <w:rFonts w:hint="eastAsia" w:ascii="仿宋_GB2312" w:hAnsi="宋体" w:eastAsia="仿宋_GB2312"/>
          <w:sz w:val="28"/>
          <w:szCs w:val="28"/>
        </w:rPr>
        <w:t>2020年8月</w:t>
      </w:r>
      <w:r>
        <w:rPr>
          <w:rFonts w:hint="eastAsia" w:ascii="宋体" w:hAnsi="宋体"/>
          <w:sz w:val="28"/>
          <w:szCs w:val="28"/>
        </w:rPr>
        <w:t>～</w:t>
      </w:r>
      <w:r>
        <w:rPr>
          <w:rFonts w:hint="eastAsia" w:ascii="仿宋_GB2312" w:hAnsi="宋体" w:eastAsia="仿宋_GB2312"/>
          <w:sz w:val="28"/>
          <w:szCs w:val="28"/>
        </w:rPr>
        <w:t>2021年4月，深入南宁市、北海市、百色市、柳州市、来宾市、桂林市</w:t>
      </w:r>
      <w:r>
        <w:rPr>
          <w:rFonts w:hint="eastAsia" w:ascii="仿宋_GB2312" w:hAnsi="宋体" w:eastAsia="仿宋_GB2312"/>
          <w:sz w:val="28"/>
          <w:szCs w:val="28"/>
          <w:lang w:val="zh-CN"/>
        </w:rPr>
        <w:t>等主要甜瓜产区，针对甜瓜土传病害及甜瓜集约化嫁接育苗</w:t>
      </w:r>
      <w:r>
        <w:rPr>
          <w:rFonts w:hint="eastAsia" w:ascii="仿宋_GB2312" w:hAnsi="宋体" w:eastAsia="仿宋_GB2312"/>
          <w:sz w:val="28"/>
          <w:szCs w:val="28"/>
        </w:rPr>
        <w:t>进行分组实地调研。标准编制工作组多次召开会议，对标准草案进行了反复修改和研究讨论，最终形成了团体标准《甜瓜集约化嫁接育苗技术规程》（征求意见稿）和（征求意见稿）编制说明。</w:t>
      </w:r>
    </w:p>
    <w:p>
      <w:pPr>
        <w:autoSpaceDE w:val="0"/>
        <w:autoSpaceDN w:val="0"/>
        <w:adjustRightInd w:val="0"/>
        <w:spacing w:beforeLines="50" w:afterLines="50" w:line="520" w:lineRule="exact"/>
        <w:ind w:firstLine="640" w:firstLineChars="200"/>
        <w:jc w:val="left"/>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ind w:firstLine="562" w:firstLineChars="200"/>
        <w:rPr>
          <w:rFonts w:ascii="仿宋_GB2312" w:hAnsi="宋体" w:eastAsia="仿宋_GB2312"/>
          <w:b/>
          <w:sz w:val="28"/>
          <w:szCs w:val="28"/>
        </w:rPr>
      </w:pPr>
      <w:r>
        <w:rPr>
          <w:rFonts w:hint="eastAsia" w:ascii="仿宋_GB2312" w:hAnsi="宋体" w:eastAsia="仿宋_GB2312"/>
          <w:b/>
          <w:sz w:val="28"/>
          <w:szCs w:val="28"/>
        </w:rPr>
        <w:t>1、实用性原则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本文件是在充分收集相关资料和文献，分析区内甜瓜嫁接育苗现状</w:t>
      </w:r>
      <w:r>
        <w:rPr>
          <w:rFonts w:hint="eastAsia"/>
          <w:sz w:val="28"/>
          <w:szCs w:val="28"/>
        </w:rPr>
        <w:t>，</w:t>
      </w:r>
      <w:r>
        <w:rPr>
          <w:rFonts w:hint="eastAsia" w:ascii="仿宋_GB2312" w:hAnsi="宋体" w:eastAsia="仿宋_GB2312"/>
          <w:sz w:val="28"/>
          <w:szCs w:val="28"/>
        </w:rPr>
        <w:t>在现有国家、行业标准相关甜瓜集约化嫁接育苗技术的基础上，结合多年经验而总结起草的。符合当前甜瓜嫁接育苗技术的要求，有利于行业的长远发展，具有较强的实用性和可操作性。</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2、协调性原则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本文件编写过程中注意了甜瓜集约化嫁接育苗技术要求与相关法律法规的协调问题，在内容上与现行法律法规、标准协调一致。</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3、规范性原则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本文件严格按照GB/T 1.1—2020《标准化工作导则 第1部分：标准的结构和编写》的要求和规定编写本标准的内容，保证标准的编写质量。</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4、前瞻性原则</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本文件兼顾当前区内甜瓜嫁接育苗技术的同时，对比甜瓜集约化嫁接育苗与顶插接法、靠接法、贴接法育苗，在成活率、周期、整齐性、用工量的区别，在标准中体现了个别特色性、前瞻性和先进性条款，作为对甜瓜集约化嫁接育苗技术的指导。</w:t>
      </w:r>
    </w:p>
    <w:p>
      <w:pPr>
        <w:ind w:firstLine="560" w:firstLineChars="200"/>
        <w:rPr>
          <w:rFonts w:hint="eastAsia" w:ascii="仿宋_GB2312" w:hAnsi="宋体" w:eastAsia="仿宋_GB2312"/>
          <w:sz w:val="28"/>
          <w:szCs w:val="28"/>
        </w:rPr>
      </w:pPr>
    </w:p>
    <w:p>
      <w:pPr>
        <w:ind w:firstLine="560" w:firstLineChars="200"/>
        <w:rPr>
          <w:rFonts w:hint="eastAsia" w:ascii="仿宋_GB2312" w:hAnsi="宋体" w:eastAsia="仿宋_GB2312"/>
          <w:sz w:val="28"/>
          <w:szCs w:val="28"/>
        </w:rPr>
      </w:pPr>
    </w:p>
    <w:p>
      <w:pPr>
        <w:ind w:firstLine="560" w:firstLineChars="200"/>
        <w:rPr>
          <w:rFonts w:hint="eastAsia" w:ascii="仿宋_GB2312" w:hAnsi="宋体" w:eastAsia="仿宋_GB2312"/>
          <w:sz w:val="28"/>
          <w:szCs w:val="28"/>
        </w:rPr>
      </w:pPr>
    </w:p>
    <w:p>
      <w:pPr>
        <w:ind w:firstLine="560" w:firstLineChars="200"/>
        <w:rPr>
          <w:rFonts w:hint="eastAsia" w:ascii="仿宋_GB2312" w:hAnsi="宋体" w:eastAsia="仿宋_GB2312"/>
          <w:sz w:val="28"/>
          <w:szCs w:val="28"/>
        </w:rPr>
      </w:pPr>
      <w:bookmarkStart w:id="2" w:name="_GoBack"/>
      <w:bookmarkEnd w:id="2"/>
    </w:p>
    <w:p>
      <w:pPr>
        <w:pStyle w:val="13"/>
        <w:numPr>
          <w:ilvl w:val="0"/>
          <w:numId w:val="4"/>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标准主要章节内容及确定依据</w:t>
      </w:r>
    </w:p>
    <w:p>
      <w:pPr>
        <w:pStyle w:val="20"/>
        <w:ind w:firstLine="560" w:firstLineChars="200"/>
        <w:rPr>
          <w:rFonts w:ascii="仿宋_GB2312" w:hAnsi="宋体" w:eastAsia="仿宋_GB2312"/>
          <w:kern w:val="2"/>
          <w:sz w:val="28"/>
          <w:szCs w:val="28"/>
        </w:rPr>
      </w:pPr>
      <w:r>
        <w:rPr>
          <w:rFonts w:hint="eastAsia" w:ascii="仿宋_GB2312" w:hAnsi="宋体" w:eastAsia="仿宋_GB2312"/>
          <w:sz w:val="28"/>
          <w:szCs w:val="28"/>
          <w:lang w:val="zh-CN"/>
        </w:rPr>
        <w:t>团体标准《甜瓜集约化嫁接育苗技术规程》主要内容包括</w:t>
      </w:r>
      <w:r>
        <w:rPr>
          <w:rFonts w:hint="eastAsia" w:ascii="仿宋_GB2312" w:hAnsi="宋体" w:eastAsia="仿宋_GB2312"/>
          <w:sz w:val="28"/>
          <w:szCs w:val="28"/>
        </w:rPr>
        <w:t>术语和定义、育苗环境、设施设备、消毒、品种选择及种子处理、播种育苗、嫁接、嫁接后管理、出圃、生产档案。</w:t>
      </w:r>
    </w:p>
    <w:p>
      <w:pPr>
        <w:ind w:firstLine="562" w:firstLineChars="200"/>
        <w:rPr>
          <w:rFonts w:ascii="仿宋_GB2312" w:hAnsi="宋体" w:eastAsia="仿宋_GB2312"/>
          <w:b/>
          <w:sz w:val="28"/>
          <w:szCs w:val="28"/>
          <w:lang w:val="zh-CN"/>
        </w:rPr>
      </w:pPr>
      <w:r>
        <w:rPr>
          <w:rFonts w:hint="eastAsia" w:ascii="仿宋_GB2312" w:hAnsi="宋体" w:eastAsia="仿宋_GB2312"/>
          <w:b/>
          <w:sz w:val="28"/>
          <w:szCs w:val="28"/>
          <w:lang w:val="zh-CN"/>
        </w:rPr>
        <w:t>1 术语和定义</w:t>
      </w:r>
    </w:p>
    <w:p>
      <w:pPr>
        <w:pStyle w:val="20"/>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集约化育苗：利用现代园艺设施装备功能，以轻基质为栽培载体，综合利用现代园艺技术，将繁琐的育苗环节和复杂的育苗技术集成起来，进行集中育苗，实行规范化管理。</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2 嫁接前准备</w:t>
      </w:r>
    </w:p>
    <w:p>
      <w:pPr>
        <w:pStyle w:val="21"/>
        <w:ind w:left="0" w:firstLine="560" w:firstLineChars="200"/>
        <w:rPr>
          <w:rFonts w:ascii="仿宋_GB2312" w:hAnsi="宋体" w:eastAsia="仿宋_GB2312"/>
          <w:color w:val="000000"/>
          <w:kern w:val="2"/>
          <w:sz w:val="32"/>
          <w:szCs w:val="32"/>
        </w:rPr>
      </w:pPr>
      <w:r>
        <w:rPr>
          <w:rFonts w:hint="eastAsia" w:ascii="仿宋_GB2312" w:hAnsi="宋体" w:eastAsia="仿宋_GB2312"/>
          <w:kern w:val="2"/>
          <w:sz w:val="28"/>
          <w:szCs w:val="28"/>
        </w:rPr>
        <w:t>砧木和接穗育苗技术、苗龄要求主要根据广西当地光照、温度等气候条件和育苗工厂多年经验总结，通过讨论确定。为保证出苗整齐度和易于双断根嫁接操作，确定砧木和接穗的播种时间及苗龄，接穗应晚于砧木播种，易于操作和提高成活率。通过专家组讨论及对甜瓜双断根嫁接育苗技术相关研究，确定详细技术流程。</w:t>
      </w:r>
    </w:p>
    <w:p>
      <w:pPr>
        <w:ind w:firstLine="560" w:firstLineChars="200"/>
        <w:rPr>
          <w:rFonts w:ascii="仿宋_GB2312" w:hAnsi="宋体" w:eastAsia="仿宋_GB2312"/>
          <w:sz w:val="28"/>
          <w:szCs w:val="28"/>
        </w:rPr>
      </w:pPr>
      <w:r>
        <w:rPr>
          <w:rFonts w:hint="eastAsia" w:ascii="仿宋_GB2312" w:hAnsi="宋体" w:eastAsia="仿宋_GB2312"/>
          <w:sz w:val="28"/>
          <w:szCs w:val="28"/>
        </w:rPr>
        <w:t>1）设备设施、消毒</w:t>
      </w:r>
    </w:p>
    <w:p>
      <w:pPr>
        <w:pStyle w:val="14"/>
        <w:ind w:firstLine="560"/>
        <w:rPr>
          <w:rFonts w:ascii="仿宋_GB2312" w:hAnsi="宋体" w:eastAsia="仿宋_GB2312"/>
          <w:kern w:val="2"/>
          <w:sz w:val="28"/>
          <w:szCs w:val="28"/>
        </w:rPr>
      </w:pPr>
      <w:r>
        <w:rPr>
          <w:rFonts w:hint="eastAsia" w:ascii="仿宋_GB2312" w:hAnsi="宋体" w:eastAsia="仿宋_GB2312"/>
          <w:kern w:val="2"/>
          <w:sz w:val="28"/>
          <w:szCs w:val="28"/>
        </w:rPr>
        <w:t>育苗设施主要有连栋温室和塑料大棚，具有保温、通风、湿帘、风机、补光、遮阳等环境调控设备，配套育苗设施还包括基质车间、催芽室、愈合室、育苗床架、肥水供给系统、材料库房等。采用高温闷棚、药剂喷雾法、药剂熏蒸法进行育苗温室消毒，采用0.1％高锰酸钾溶液进行穴盘、平盘消毒，选用正规生产商生产的瓜类或商用育苗基质，使用前加入百菌清或多菌灵进行消毒。</w:t>
      </w:r>
    </w:p>
    <w:p>
      <w:pPr>
        <w:ind w:firstLine="560" w:firstLineChars="200"/>
        <w:rPr>
          <w:rFonts w:ascii="仿宋_GB2312" w:hAnsi="宋体" w:eastAsia="仿宋_GB2312"/>
          <w:sz w:val="28"/>
          <w:szCs w:val="28"/>
        </w:rPr>
      </w:pPr>
      <w:r>
        <w:rPr>
          <w:rFonts w:hint="eastAsia" w:ascii="仿宋_GB2312" w:hAnsi="宋体" w:eastAsia="仿宋_GB2312"/>
          <w:sz w:val="28"/>
          <w:szCs w:val="28"/>
        </w:rPr>
        <w:t>2）砧木、接穗选择</w:t>
      </w:r>
    </w:p>
    <w:p>
      <w:pPr>
        <w:pStyle w:val="14"/>
        <w:ind w:firstLine="560"/>
        <w:rPr>
          <w:rFonts w:ascii="仿宋_GB2312" w:hAnsi="宋体" w:eastAsia="仿宋_GB2312"/>
          <w:kern w:val="2"/>
          <w:sz w:val="28"/>
          <w:szCs w:val="28"/>
        </w:rPr>
      </w:pPr>
      <w:r>
        <w:rPr>
          <w:rFonts w:hint="eastAsia" w:ascii="仿宋_GB2312" w:hAnsi="宋体" w:eastAsia="仿宋_GB2312"/>
          <w:kern w:val="2"/>
          <w:sz w:val="28"/>
          <w:szCs w:val="28"/>
        </w:rPr>
        <w:t>砧木:应选择适合当地生态气候特点种植，抗逆性强，与接穗亲和力强、共生性好，嫁接优势明显，抗甜瓜枯萎病且对甜瓜果实外观及品质无不良影响的小籽南瓜、白瓜品种作为嫁接砧木，如壮士</w:t>
      </w:r>
      <w:r>
        <w:rPr>
          <w:rFonts w:ascii="仿宋_GB2312" w:hAnsi="宋体" w:eastAsia="仿宋_GB2312"/>
          <w:kern w:val="2"/>
          <w:sz w:val="28"/>
          <w:szCs w:val="28"/>
        </w:rPr>
        <w:t>1白籽</w:t>
      </w:r>
      <w:r>
        <w:rPr>
          <w:rFonts w:hint="eastAsia" w:ascii="仿宋_GB2312" w:hAnsi="宋体" w:eastAsia="仿宋_GB2312"/>
          <w:kern w:val="2"/>
          <w:sz w:val="28"/>
          <w:szCs w:val="28"/>
        </w:rPr>
        <w:t>南瓜、铁木砧白籽南瓜、甜砧</w:t>
      </w:r>
      <w:r>
        <w:rPr>
          <w:rFonts w:ascii="仿宋_GB2312" w:hAnsi="宋体" w:eastAsia="仿宋_GB2312"/>
          <w:kern w:val="2"/>
          <w:sz w:val="28"/>
          <w:szCs w:val="28"/>
        </w:rPr>
        <w:t>1</w:t>
      </w:r>
      <w:r>
        <w:rPr>
          <w:rFonts w:hint="eastAsia" w:ascii="仿宋_GB2312" w:hAnsi="宋体" w:eastAsia="仿宋_GB2312"/>
          <w:kern w:val="2"/>
          <w:sz w:val="28"/>
          <w:szCs w:val="28"/>
        </w:rPr>
        <w:t>号（甜瓜）。接穗：根据市场需求、生产目标和当地环境，选择与砧木亲和力强、抗逆性强、抗病、优质的品种，或用户提供的品种。目前广西主栽薄皮甜瓜</w:t>
      </w:r>
      <w:r>
        <w:rPr>
          <w:rFonts w:ascii="仿宋_GB2312" w:hAnsi="宋体" w:eastAsia="仿宋_GB2312"/>
          <w:kern w:val="2"/>
          <w:sz w:val="28"/>
          <w:szCs w:val="28"/>
        </w:rPr>
        <w:t>品种</w:t>
      </w:r>
      <w:r>
        <w:rPr>
          <w:rFonts w:hint="eastAsia" w:ascii="仿宋_GB2312" w:hAnsi="宋体" w:eastAsia="仿宋_GB2312"/>
          <w:kern w:val="2"/>
          <w:sz w:val="28"/>
          <w:szCs w:val="28"/>
        </w:rPr>
        <w:t>如广蜜</w:t>
      </w:r>
      <w:r>
        <w:rPr>
          <w:rFonts w:ascii="仿宋_GB2312" w:hAnsi="宋体" w:eastAsia="仿宋_GB2312"/>
          <w:kern w:val="2"/>
          <w:sz w:val="28"/>
          <w:szCs w:val="28"/>
        </w:rPr>
        <w:t>1号</w:t>
      </w:r>
      <w:r>
        <w:rPr>
          <w:rFonts w:hint="eastAsia" w:ascii="仿宋_GB2312" w:hAnsi="宋体" w:eastAsia="仿宋_GB2312"/>
          <w:kern w:val="2"/>
          <w:sz w:val="28"/>
          <w:szCs w:val="28"/>
        </w:rPr>
        <w:t>、美浓、新青玉、农甜</w:t>
      </w:r>
      <w:r>
        <w:rPr>
          <w:rFonts w:ascii="仿宋_GB2312" w:hAnsi="宋体" w:eastAsia="仿宋_GB2312"/>
          <w:kern w:val="2"/>
          <w:sz w:val="28"/>
          <w:szCs w:val="28"/>
        </w:rPr>
        <w:t>2号</w:t>
      </w:r>
      <w:r>
        <w:rPr>
          <w:rFonts w:hint="eastAsia" w:ascii="仿宋_GB2312" w:hAnsi="宋体" w:eastAsia="仿宋_GB2312"/>
          <w:kern w:val="2"/>
          <w:sz w:val="28"/>
          <w:szCs w:val="28"/>
        </w:rPr>
        <w:t>、</w:t>
      </w:r>
      <w:r>
        <w:rPr>
          <w:rFonts w:ascii="仿宋_GB2312" w:hAnsi="宋体" w:eastAsia="仿宋_GB2312"/>
          <w:kern w:val="2"/>
          <w:sz w:val="28"/>
          <w:szCs w:val="28"/>
        </w:rPr>
        <w:t>金美玉等</w:t>
      </w:r>
      <w:r>
        <w:rPr>
          <w:rFonts w:hint="eastAsia" w:ascii="仿宋_GB2312" w:hAnsi="宋体" w:eastAsia="仿宋_GB2312"/>
          <w:kern w:val="2"/>
          <w:sz w:val="28"/>
          <w:szCs w:val="28"/>
        </w:rPr>
        <w:t>。种子质量应符合</w:t>
      </w:r>
      <w:r>
        <w:rPr>
          <w:rFonts w:ascii="仿宋_GB2312" w:hAnsi="宋体" w:eastAsia="仿宋_GB2312"/>
          <w:kern w:val="2"/>
          <w:sz w:val="28"/>
          <w:szCs w:val="28"/>
        </w:rPr>
        <w:t>GB 16715.1</w:t>
      </w:r>
      <w:r>
        <w:rPr>
          <w:rFonts w:hint="eastAsia" w:ascii="仿宋_GB2312" w:hAnsi="宋体" w:eastAsia="仿宋_GB2312"/>
          <w:kern w:val="2"/>
          <w:sz w:val="28"/>
          <w:szCs w:val="28"/>
        </w:rPr>
        <w:t>的要求。</w:t>
      </w:r>
    </w:p>
    <w:p>
      <w:pPr>
        <w:ind w:firstLine="560" w:firstLineChars="200"/>
        <w:rPr>
          <w:rFonts w:ascii="仿宋_GB2312" w:hAnsi="宋体" w:eastAsia="仿宋_GB2312"/>
          <w:sz w:val="28"/>
          <w:szCs w:val="28"/>
        </w:rPr>
      </w:pPr>
      <w:r>
        <w:rPr>
          <w:rFonts w:hint="eastAsia" w:ascii="仿宋_GB2312" w:hAnsi="宋体" w:eastAsia="仿宋_GB2312"/>
          <w:sz w:val="28"/>
          <w:szCs w:val="28"/>
        </w:rPr>
        <w:t>3）播种催芽</w:t>
      </w:r>
    </w:p>
    <w:p>
      <w:pPr>
        <w:pStyle w:val="14"/>
        <w:ind w:firstLine="560"/>
        <w:rPr>
          <w:rFonts w:ascii="仿宋_GB2312" w:hAnsi="宋体" w:eastAsia="仿宋_GB2312"/>
          <w:kern w:val="2"/>
          <w:sz w:val="28"/>
          <w:szCs w:val="28"/>
        </w:rPr>
      </w:pPr>
      <w:r>
        <w:rPr>
          <w:rFonts w:hint="eastAsia" w:ascii="仿宋_GB2312" w:hAnsi="宋体" w:eastAsia="仿宋_GB2312"/>
          <w:kern w:val="2"/>
          <w:sz w:val="28"/>
          <w:szCs w:val="28"/>
        </w:rPr>
        <w:t>按照田间定植时间和苗龄计算播种时期，砧木播种时间桂南地区12月至翌年1～3月；桂中、桂北及桂西北地区1月～次年3月。断根嫁接法砧木应比接穗早3～5天播种。</w:t>
      </w:r>
    </w:p>
    <w:p>
      <w:pPr>
        <w:pStyle w:val="32"/>
        <w:numPr>
          <w:ilvl w:val="1"/>
          <w:numId w:val="0"/>
        </w:numPr>
        <w:spacing w:beforeLines="0" w:afterLines="0"/>
        <w:ind w:firstLine="560" w:firstLineChars="200"/>
        <w:outlineLvl w:val="1"/>
        <w:rPr>
          <w:rFonts w:ascii="宋体" w:hAnsi="宋体" w:eastAsia="宋体"/>
          <w:szCs w:val="22"/>
        </w:rPr>
      </w:pPr>
      <w:r>
        <w:rPr>
          <w:rFonts w:hint="eastAsia" w:ascii="仿宋_GB2312" w:hAnsi="宋体" w:eastAsia="仿宋_GB2312"/>
          <w:kern w:val="2"/>
          <w:sz w:val="28"/>
          <w:szCs w:val="28"/>
        </w:rPr>
        <w:t>播种主要分为人工播种和机械播种：1)将消毒后基质装入穴盘，在每穴基质中部打孔，深度1</w:t>
      </w:r>
      <w:r>
        <w:rPr>
          <w:rFonts w:ascii="仿宋_GB2312" w:hAnsi="宋体" w:eastAsia="仿宋_GB2312"/>
          <w:kern w:val="2"/>
          <w:sz w:val="28"/>
          <w:szCs w:val="28"/>
        </w:rPr>
        <w:t>.5</w:t>
      </w:r>
      <w:r>
        <w:rPr>
          <w:rFonts w:hint="eastAsia" w:ascii="仿宋_GB2312" w:hAnsi="宋体" w:eastAsia="仿宋_GB2312"/>
          <w:kern w:val="2"/>
          <w:sz w:val="28"/>
          <w:szCs w:val="28"/>
        </w:rPr>
        <w:t xml:space="preserve"> </w:t>
      </w:r>
      <w:r>
        <w:rPr>
          <w:rFonts w:ascii="仿宋_GB2312" w:hAnsi="宋体" w:eastAsia="仿宋_GB2312"/>
          <w:kern w:val="2"/>
          <w:sz w:val="28"/>
          <w:szCs w:val="28"/>
        </w:rPr>
        <w:t>cm</w:t>
      </w:r>
      <w:r>
        <w:rPr>
          <w:rFonts w:hint="eastAsia" w:ascii="仿宋_GB2312" w:hAnsi="宋体" w:eastAsia="仿宋_GB2312"/>
          <w:kern w:val="2"/>
          <w:sz w:val="28"/>
          <w:szCs w:val="28"/>
        </w:rPr>
        <w:t>，将砧木种子平放播于孔内，覆盖消毒蛭石并淋透水。2）自动装盘机将配制好的育苗基质均匀填装于穴盘每个孔穴，</w:t>
      </w:r>
      <w:bookmarkStart w:id="1" w:name="_Hlk503857135"/>
      <w:r>
        <w:rPr>
          <w:rFonts w:hint="eastAsia" w:ascii="仿宋_GB2312" w:hAnsi="宋体" w:eastAsia="仿宋_GB2312"/>
          <w:kern w:val="2"/>
          <w:sz w:val="28"/>
          <w:szCs w:val="28"/>
        </w:rPr>
        <w:t>填充后，刷洗穴盘，保持干净整洁。废料可通过土壤升降机回收，将最大程度减少产生的多余基质。通过全自动滚筒、针式、板式精量播种机将种子点播至穴盘的每个播种穴，最大产量大约为每小时800盘。播种完成后通过传送带式输送机将苗盘传送至苗床中。通过播种线上的覆土装置，均匀的将蛭石或珍珠岩覆盖到播种后的穴盘中。用喷淋设备对已播种，并覆盖后的苗盘喷淋，直至苗盘底部排水孔有水渗出即可。随后，通过自动物流系统将苗床运输至催芽室或育苗设施中。</w:t>
      </w:r>
    </w:p>
    <w:p>
      <w:pPr>
        <w:pStyle w:val="32"/>
        <w:numPr>
          <w:ilvl w:val="1"/>
          <w:numId w:val="0"/>
        </w:numPr>
        <w:spacing w:beforeLines="0" w:afterLines="0"/>
        <w:ind w:firstLine="560" w:firstLineChars="200"/>
        <w:outlineLvl w:val="1"/>
        <w:rPr>
          <w:rFonts w:ascii="仿宋_GB2312" w:hAnsi="宋体" w:eastAsia="仿宋_GB2312"/>
          <w:kern w:val="2"/>
          <w:sz w:val="28"/>
          <w:szCs w:val="28"/>
        </w:rPr>
      </w:pPr>
      <w:r>
        <w:rPr>
          <w:rFonts w:hint="eastAsia" w:ascii="仿宋_GB2312" w:hAnsi="宋体" w:eastAsia="仿宋_GB2312"/>
          <w:kern w:val="2"/>
          <w:sz w:val="28"/>
          <w:szCs w:val="28"/>
        </w:rPr>
        <w:t>催芽条件控制为白天温度</w:t>
      </w:r>
      <w:r>
        <w:rPr>
          <w:rFonts w:ascii="仿宋_GB2312" w:hAnsi="宋体" w:eastAsia="仿宋_GB2312"/>
          <w:kern w:val="2"/>
          <w:sz w:val="28"/>
          <w:szCs w:val="28"/>
        </w:rPr>
        <w:t>28</w:t>
      </w:r>
      <w:r>
        <w:rPr>
          <w:rFonts w:hint="eastAsia" w:ascii="仿宋_GB2312" w:hAnsi="宋体" w:eastAsia="仿宋_GB2312"/>
          <w:kern w:val="2"/>
          <w:sz w:val="28"/>
          <w:szCs w:val="28"/>
        </w:rPr>
        <w:t xml:space="preserve"> ℃～</w:t>
      </w:r>
      <w:r>
        <w:rPr>
          <w:rFonts w:ascii="仿宋_GB2312" w:hAnsi="宋体" w:eastAsia="仿宋_GB2312"/>
          <w:kern w:val="2"/>
          <w:sz w:val="28"/>
          <w:szCs w:val="28"/>
        </w:rPr>
        <w:t>30</w:t>
      </w:r>
      <w:r>
        <w:rPr>
          <w:rFonts w:hint="eastAsia" w:ascii="仿宋_GB2312" w:hAnsi="宋体" w:eastAsia="仿宋_GB2312"/>
          <w:kern w:val="2"/>
          <w:sz w:val="28"/>
          <w:szCs w:val="28"/>
        </w:rPr>
        <w:t xml:space="preserve"> ℃，夜间温度</w:t>
      </w:r>
      <w:r>
        <w:rPr>
          <w:rFonts w:ascii="仿宋_GB2312" w:hAnsi="宋体" w:eastAsia="仿宋_GB2312"/>
          <w:kern w:val="2"/>
          <w:sz w:val="28"/>
          <w:szCs w:val="28"/>
        </w:rPr>
        <w:t>18</w:t>
      </w:r>
      <w:r>
        <w:rPr>
          <w:rFonts w:hint="eastAsia" w:ascii="仿宋_GB2312" w:hAnsi="宋体" w:eastAsia="仿宋_GB2312"/>
          <w:kern w:val="2"/>
          <w:sz w:val="28"/>
          <w:szCs w:val="28"/>
        </w:rPr>
        <w:t xml:space="preserve"> ℃～</w:t>
      </w:r>
      <w:r>
        <w:rPr>
          <w:rFonts w:ascii="仿宋_GB2312" w:hAnsi="宋体" w:eastAsia="仿宋_GB2312"/>
          <w:kern w:val="2"/>
          <w:sz w:val="28"/>
          <w:szCs w:val="28"/>
        </w:rPr>
        <w:t>20</w:t>
      </w:r>
      <w:r>
        <w:rPr>
          <w:rFonts w:hint="eastAsia" w:ascii="仿宋_GB2312" w:hAnsi="宋体" w:eastAsia="仿宋_GB2312"/>
          <w:kern w:val="2"/>
          <w:sz w:val="28"/>
          <w:szCs w:val="28"/>
        </w:rPr>
        <w:t xml:space="preserve"> ℃</w:t>
      </w:r>
      <w:r>
        <w:rPr>
          <w:rFonts w:ascii="仿宋_GB2312" w:hAnsi="宋体" w:eastAsia="仿宋_GB2312"/>
          <w:kern w:val="2"/>
          <w:sz w:val="28"/>
          <w:szCs w:val="28"/>
        </w:rPr>
        <w:t>，湿度50</w:t>
      </w:r>
      <w:r>
        <w:rPr>
          <w:rFonts w:hint="eastAsia" w:ascii="仿宋_GB2312" w:hAnsi="宋体" w:eastAsia="仿宋_GB2312"/>
          <w:kern w:val="2"/>
          <w:sz w:val="28"/>
          <w:szCs w:val="28"/>
        </w:rPr>
        <w:t>％～</w:t>
      </w:r>
      <w:r>
        <w:rPr>
          <w:rFonts w:ascii="仿宋_GB2312" w:hAnsi="宋体" w:eastAsia="仿宋_GB2312"/>
          <w:kern w:val="2"/>
          <w:sz w:val="28"/>
          <w:szCs w:val="28"/>
        </w:rPr>
        <w:t>70</w:t>
      </w:r>
      <w:r>
        <w:rPr>
          <w:rFonts w:hint="eastAsia" w:ascii="仿宋_GB2312" w:hAnsi="宋体" w:eastAsia="仿宋_GB2312"/>
          <w:kern w:val="2"/>
          <w:sz w:val="28"/>
          <w:szCs w:val="28"/>
        </w:rPr>
        <w:t>％。催芽分催芽室催芽和苗床催芽：1）苗盘在催芽室的设定环境条件下催芽，当70%左右种子的子叶破土时，及时传送至育苗设施中。2）无配备催芽室，可在苗床上覆盖一层白色地膜保温保湿，当40%左右的种牙破土时，及时揭开地膜。</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3嫁接</w:t>
      </w:r>
    </w:p>
    <w:bookmarkEnd w:id="1"/>
    <w:p>
      <w:pPr>
        <w:pStyle w:val="21"/>
        <w:ind w:left="0" w:firstLine="560" w:firstLineChars="200"/>
        <w:rPr>
          <w:rFonts w:ascii="仿宋_GB2312" w:hAnsi="宋体" w:eastAsia="仿宋_GB2312"/>
          <w:kern w:val="2"/>
          <w:sz w:val="28"/>
          <w:szCs w:val="28"/>
        </w:rPr>
      </w:pPr>
      <w:r>
        <w:rPr>
          <w:rFonts w:hint="eastAsia" w:ascii="仿宋_GB2312" w:hAnsi="宋体" w:eastAsia="仿宋_GB2312"/>
          <w:kern w:val="2"/>
          <w:sz w:val="28"/>
          <w:szCs w:val="28"/>
        </w:rPr>
        <w:t>砧木第1片真叶展平，第2片真叶刚露心，茎粗2.5 mm～3 mm;接穗子叶展平，转绿露心，茎粗1.5 mm～2 mm时为最佳嫁接期。嫁接前将大棚裙膜收起通风2～3天。砧木苗在嫁接前一天浇透水。</w:t>
      </w:r>
      <w:r>
        <w:rPr>
          <w:rFonts w:ascii="仿宋_GB2312" w:hAnsi="宋体" w:eastAsia="仿宋_GB2312"/>
          <w:kern w:val="2"/>
          <w:sz w:val="28"/>
          <w:szCs w:val="28"/>
        </w:rPr>
        <w:t>砧木苗和接穗苗嫁接前一天喷施70％甲基硫菌灵可湿性粉剂1000倍液</w:t>
      </w:r>
      <w:r>
        <w:rPr>
          <w:rFonts w:hint="eastAsia" w:ascii="仿宋_GB2312" w:hAnsi="宋体" w:eastAsia="仿宋_GB2312"/>
          <w:kern w:val="2"/>
          <w:sz w:val="28"/>
          <w:szCs w:val="28"/>
        </w:rPr>
        <w:t>。</w:t>
      </w:r>
    </w:p>
    <w:p>
      <w:pPr>
        <w:pStyle w:val="20"/>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甜瓜嫁接育苗中应用较多的嫁接方法主要有：靠接、劈接、贴接、顶插接、断根嫁接等，其中插接法比较省工，易操作，不用绑扎物，嫁接成活率可达90％以上。砧木苗和接穗苗的子叶展平、第一片真叶出现时为嫁接适宜期。嫁接时，取砧木苗，用刀片削去生长点及腋芽，用竹签从一片子叶着生的基部向另一片叶子下呈45°角斜戳去，直至将砧木的下胚轴表皮刺破约0.5 cm，孔洞长约1 cm。将秧苗带着竹签放到一边。随即取大小适宜的甜瓜苗（没有必要带根），从子叶下1～1.5 cm处向下斜削成双面楔形，楔面长0.7～1 cm。左手持砧木苗并拔起竹签，随之将甜瓜接穗苗的楔面插入孔中，使接穗与砧木紧密结合，以接穗的前端稍露出砧木的下胚轴为好。保持砧木与接穗的子叶相重叠，利用砧木的子叶承托接穗，防止下垂。</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5嫁接后管理</w:t>
      </w:r>
    </w:p>
    <w:p>
      <w:pPr>
        <w:pStyle w:val="21"/>
        <w:ind w:left="0" w:firstLine="560" w:firstLineChars="200"/>
        <w:rPr>
          <w:rFonts w:ascii="仿宋_GB2312" w:hAnsi="宋体" w:eastAsia="仿宋_GB2312"/>
          <w:kern w:val="2"/>
          <w:sz w:val="28"/>
          <w:szCs w:val="28"/>
        </w:rPr>
      </w:pPr>
      <w:r>
        <w:rPr>
          <w:rFonts w:hint="eastAsia" w:ascii="仿宋_GB2312" w:hAnsi="宋体" w:eastAsia="仿宋_GB2312"/>
          <w:kern w:val="2"/>
          <w:sz w:val="28"/>
          <w:szCs w:val="28"/>
        </w:rPr>
        <w:t>嫁接</w:t>
      </w:r>
      <w:r>
        <w:rPr>
          <w:rFonts w:ascii="仿宋_GB2312" w:hAnsi="宋体" w:eastAsia="仿宋_GB2312"/>
          <w:kern w:val="2"/>
          <w:sz w:val="28"/>
          <w:szCs w:val="28"/>
        </w:rPr>
        <w:t>后愈合和炼苗环境控制</w:t>
      </w:r>
      <w:r>
        <w:rPr>
          <w:rFonts w:hint="eastAsia" w:ascii="仿宋_GB2312" w:hAnsi="宋体" w:eastAsia="仿宋_GB2312"/>
          <w:kern w:val="2"/>
          <w:sz w:val="28"/>
          <w:szCs w:val="28"/>
        </w:rPr>
        <w:t>主要包括温度、湿度以及光照条件的控制，根据进行嫁接育苗时广西当地的自然气候条件，通过育苗设施的使用进行相关的调节，以期达到接后愈合和炼苗的最适宜条件。</w:t>
      </w:r>
    </w:p>
    <w:p>
      <w:pPr>
        <w:pStyle w:val="21"/>
        <w:numPr>
          <w:ilvl w:val="0"/>
          <w:numId w:val="5"/>
        </w:numPr>
        <w:rPr>
          <w:rFonts w:ascii="仿宋_GB2312" w:hAnsi="宋体" w:eastAsia="仿宋_GB2312"/>
          <w:b/>
          <w:kern w:val="2"/>
          <w:sz w:val="28"/>
          <w:szCs w:val="28"/>
        </w:rPr>
      </w:pPr>
      <w:r>
        <w:rPr>
          <w:rFonts w:hint="eastAsia" w:ascii="仿宋_GB2312" w:hAnsi="宋体" w:eastAsia="仿宋_GB2312"/>
          <w:b/>
          <w:kern w:val="2"/>
          <w:sz w:val="28"/>
          <w:szCs w:val="28"/>
        </w:rPr>
        <w:t>愈合管理分为愈合室管理及小拱棚管理。</w:t>
      </w:r>
    </w:p>
    <w:p>
      <w:pPr>
        <w:pStyle w:val="21"/>
        <w:ind w:left="0" w:firstLine="560" w:firstLineChars="200"/>
        <w:rPr>
          <w:rFonts w:ascii="仿宋_GB2312" w:hAnsi="宋体" w:eastAsia="仿宋_GB2312"/>
          <w:kern w:val="2"/>
          <w:sz w:val="28"/>
          <w:szCs w:val="28"/>
        </w:rPr>
      </w:pPr>
      <w:r>
        <w:rPr>
          <w:rFonts w:hint="eastAsia" w:ascii="仿宋_GB2312" w:hAnsi="宋体" w:eastAsia="仿宋_GB2312"/>
          <w:kern w:val="2"/>
          <w:sz w:val="28"/>
          <w:szCs w:val="28"/>
        </w:rPr>
        <w:t>愈合室管理需设置愈合条件为：嫁接前3 d，白天温度26 ℃～38 ℃，夜间温度20 ℃～22 ℃；3 d</w:t>
      </w:r>
      <w:r>
        <w:rPr>
          <w:rFonts w:ascii="仿宋_GB2312" w:hAnsi="宋体" w:eastAsia="仿宋_GB2312"/>
          <w:kern w:val="2"/>
          <w:sz w:val="28"/>
          <w:szCs w:val="28"/>
        </w:rPr>
        <w:t>后</w:t>
      </w:r>
      <w:r>
        <w:rPr>
          <w:rFonts w:hint="eastAsia" w:ascii="仿宋_GB2312" w:hAnsi="宋体" w:eastAsia="仿宋_GB2312"/>
          <w:kern w:val="2"/>
          <w:sz w:val="28"/>
          <w:szCs w:val="28"/>
        </w:rPr>
        <w:t>，白天温度XX ℃～XX ℃，夜间温度18 ℃～20 ℃。嫁接前1 d～2 d，湿度为XX％；3 d～4 d湿度在90％以上；4 d后湿度为85％；7 d后湿度为50％～60％。</w:t>
      </w:r>
    </w:p>
    <w:p>
      <w:pPr>
        <w:pStyle w:val="21"/>
        <w:ind w:left="0" w:firstLine="560" w:firstLineChars="200"/>
        <w:rPr>
          <w:rFonts w:ascii="仿宋_GB2312" w:hAnsi="宋体" w:eastAsia="仿宋_GB2312"/>
          <w:kern w:val="2"/>
          <w:sz w:val="28"/>
          <w:szCs w:val="28"/>
        </w:rPr>
      </w:pPr>
      <w:r>
        <w:rPr>
          <w:rFonts w:hint="eastAsia" w:ascii="仿宋_GB2312" w:hAnsi="宋体" w:eastAsia="仿宋_GB2312"/>
          <w:kern w:val="2"/>
          <w:sz w:val="28"/>
          <w:szCs w:val="28"/>
        </w:rPr>
        <w:t>小拱棚管理主要从以下3点进行：</w:t>
      </w:r>
    </w:p>
    <w:p>
      <w:pPr>
        <w:pStyle w:val="8"/>
        <w:shd w:val="clear" w:color="auto" w:fill="FFFFFF"/>
        <w:spacing w:before="0" w:beforeAutospacing="0" w:after="0" w:afterAutospacing="0"/>
        <w:ind w:firstLine="401"/>
        <w:jc w:val="both"/>
        <w:rPr>
          <w:rFonts w:ascii="仿宋_GB2312" w:eastAsia="仿宋_GB2312" w:cs="Times New Roman"/>
          <w:kern w:val="2"/>
          <w:sz w:val="28"/>
          <w:szCs w:val="28"/>
        </w:rPr>
      </w:pPr>
      <w:r>
        <w:rPr>
          <w:rFonts w:hint="eastAsia" w:ascii="仿宋_GB2312" w:eastAsia="仿宋_GB2312" w:cs="Times New Roman"/>
          <w:kern w:val="2"/>
          <w:sz w:val="28"/>
          <w:szCs w:val="28"/>
        </w:rPr>
        <w:t>1）光照管理</w:t>
      </w:r>
    </w:p>
    <w:p>
      <w:pPr>
        <w:pStyle w:val="21"/>
        <w:ind w:left="0" w:firstLine="560" w:firstLineChars="200"/>
        <w:rPr>
          <w:rFonts w:ascii="仿宋_GB2312" w:hAnsi="宋体" w:eastAsia="仿宋_GB2312"/>
          <w:kern w:val="2"/>
          <w:sz w:val="28"/>
          <w:szCs w:val="28"/>
        </w:rPr>
      </w:pPr>
      <w:r>
        <w:rPr>
          <w:rFonts w:hint="eastAsia" w:ascii="仿宋_GB2312" w:hAnsi="宋体" w:eastAsia="仿宋_GB2312"/>
          <w:kern w:val="2"/>
          <w:sz w:val="28"/>
          <w:szCs w:val="28"/>
        </w:rPr>
        <w:t>嫁接苗成活之前，要根据棚内的温度来进行光照管理。嫁接后前3～4天，嫁接苗就可以适当见光，但以散射光为主，避免阳光直射，见光的时间要短；嫁接后4～7天可逐渐延长光照时间，加大光照强度，一般在早晚见光，中午光照强烈时遮荫；嫁接1周后一般就不再需要遮荫，但要时刻注意天气变化，特别是多云转晴天气，转晴后接穗易萎蔫，一定要及时遮荫，经过见光—遮荫—见光的炼苗过程。</w:t>
      </w:r>
    </w:p>
    <w:p>
      <w:pPr>
        <w:pStyle w:val="8"/>
        <w:shd w:val="clear" w:color="auto" w:fill="FFFFFF"/>
        <w:spacing w:before="0" w:beforeAutospacing="0" w:after="0" w:afterAutospacing="0"/>
        <w:ind w:firstLine="401"/>
        <w:jc w:val="both"/>
        <w:rPr>
          <w:rFonts w:ascii="仿宋_GB2312" w:eastAsia="仿宋_GB2312" w:cs="Times New Roman"/>
          <w:kern w:val="2"/>
          <w:sz w:val="28"/>
          <w:szCs w:val="28"/>
        </w:rPr>
      </w:pPr>
      <w:r>
        <w:rPr>
          <w:rFonts w:hint="eastAsia" w:ascii="仿宋_GB2312" w:eastAsia="仿宋_GB2312" w:cs="Times New Roman"/>
          <w:kern w:val="2"/>
          <w:sz w:val="28"/>
          <w:szCs w:val="28"/>
        </w:rPr>
        <w:t>2）温度管理</w:t>
      </w:r>
    </w:p>
    <w:p>
      <w:pPr>
        <w:pStyle w:val="21"/>
        <w:ind w:left="0" w:firstLine="560" w:firstLineChars="200"/>
        <w:rPr>
          <w:rFonts w:ascii="仿宋_GB2312" w:hAnsi="宋体" w:eastAsia="仿宋_GB2312"/>
          <w:kern w:val="2"/>
          <w:sz w:val="28"/>
          <w:szCs w:val="28"/>
        </w:rPr>
      </w:pPr>
      <w:r>
        <w:rPr>
          <w:rFonts w:hint="eastAsia" w:ascii="仿宋_GB2312" w:hAnsi="宋体" w:eastAsia="仿宋_GB2312"/>
          <w:kern w:val="2"/>
          <w:sz w:val="28"/>
          <w:szCs w:val="28"/>
        </w:rPr>
        <w:t>嫁接后的温度管理可以分为5个阶段：1～6天为愈合期，温度白天控制在25℃～28℃，夜温控制在20℃～22℃；7～8天为适应期，温度可进一步降低，白天温度保持在22℃～25℃，夜间18℃～20℃；11天后为生长期，白天温度保持在25℃～30℃，晚上15℃～16℃；出圃前3～5天为炼苗期，温度继续降低，逐步达到定植后的环境温度。</w:t>
      </w:r>
    </w:p>
    <w:p>
      <w:pPr>
        <w:pStyle w:val="8"/>
        <w:shd w:val="clear" w:color="auto" w:fill="FFFFFF"/>
        <w:spacing w:before="0" w:beforeAutospacing="0" w:after="0" w:afterAutospacing="0"/>
        <w:ind w:firstLine="401"/>
        <w:jc w:val="both"/>
        <w:rPr>
          <w:rFonts w:ascii="仿宋_GB2312" w:eastAsia="仿宋_GB2312" w:cs="Times New Roman"/>
          <w:kern w:val="2"/>
          <w:sz w:val="28"/>
          <w:szCs w:val="28"/>
        </w:rPr>
      </w:pPr>
      <w:r>
        <w:rPr>
          <w:rFonts w:hint="eastAsia" w:ascii="仿宋_GB2312" w:eastAsia="仿宋_GB2312" w:cs="Times New Roman"/>
          <w:kern w:val="2"/>
          <w:sz w:val="28"/>
          <w:szCs w:val="28"/>
        </w:rPr>
        <w:t>3）湿度管理</w:t>
      </w:r>
    </w:p>
    <w:p>
      <w:pPr>
        <w:pStyle w:val="21"/>
        <w:ind w:left="0" w:firstLine="560" w:firstLineChars="200"/>
        <w:rPr>
          <w:rFonts w:ascii="仿宋_GB2312" w:hAnsi="宋体" w:eastAsia="仿宋_GB2312"/>
          <w:kern w:val="2"/>
          <w:sz w:val="28"/>
          <w:szCs w:val="28"/>
        </w:rPr>
      </w:pPr>
      <w:r>
        <w:rPr>
          <w:rFonts w:hint="eastAsia" w:ascii="仿宋_GB2312" w:hAnsi="宋体" w:eastAsia="仿宋_GB2312"/>
          <w:kern w:val="2"/>
          <w:sz w:val="28"/>
          <w:szCs w:val="28"/>
        </w:rPr>
        <w:t>湿度管理总的原则是“干不萎蔫，湿不积水”，即湿度应控制在接穗子叶不萎蔫，生长点不积水的范围内。晴天应以保湿为主，阴天宁干勿湿。嫁接后1～3天，以保湿为主，但接穗生长点应不积水；嫁接后4～5天，加强通风透光。通风一般选择在早晚光照不强时进行，通风的时间以接穗子叶不萎蔫为宜。当接穗开始萎蔫时，要立即保湿遮荫，待其恢复后再通风见光；通过上述过程反复炼苗，1周后就可进入正常的苗床管理。</w:t>
      </w:r>
    </w:p>
    <w:p>
      <w:pPr>
        <w:pStyle w:val="8"/>
        <w:shd w:val="clear" w:color="auto" w:fill="FFFFFF"/>
        <w:spacing w:before="0" w:beforeAutospacing="0" w:after="0" w:afterAutospacing="0"/>
        <w:ind w:firstLine="401"/>
        <w:jc w:val="both"/>
        <w:rPr>
          <w:rFonts w:ascii="仿宋_GB2312" w:eastAsia="仿宋_GB2312" w:cs="Times New Roman"/>
          <w:b/>
          <w:kern w:val="2"/>
          <w:sz w:val="28"/>
          <w:szCs w:val="28"/>
        </w:rPr>
      </w:pPr>
      <w:r>
        <w:rPr>
          <w:rFonts w:hint="eastAsia" w:ascii="仿宋_GB2312" w:eastAsia="仿宋_GB2312" w:cs="Times New Roman"/>
          <w:b/>
          <w:kern w:val="2"/>
          <w:sz w:val="28"/>
          <w:szCs w:val="28"/>
        </w:rPr>
        <w:t>（2）其他管理</w:t>
      </w:r>
    </w:p>
    <w:p>
      <w:pPr>
        <w:pStyle w:val="21"/>
        <w:ind w:left="0" w:firstLine="560" w:firstLineChars="200"/>
        <w:rPr>
          <w:rFonts w:ascii="仿宋_GB2312" w:hAnsi="宋体" w:eastAsia="仿宋_GB2312"/>
          <w:kern w:val="2"/>
          <w:sz w:val="28"/>
          <w:szCs w:val="28"/>
        </w:rPr>
      </w:pPr>
      <w:r>
        <w:rPr>
          <w:rFonts w:hint="eastAsia" w:ascii="仿宋_GB2312" w:hAnsi="宋体" w:eastAsia="仿宋_GB2312"/>
          <w:kern w:val="2"/>
          <w:sz w:val="28"/>
          <w:szCs w:val="28"/>
        </w:rPr>
        <w:t>培育壮苗，预防出现茎细、叶小、色淡等脱肥症状。嫁接苗愈合成活后每隔7～10天淋施一次0.1％～0.3％复合肥（15-15-15）水溶液。及时剔除砧木长出的不定芽，保证接穗的健康生长。去侧芽时切忌损伤砧木子叶及接穗。嫁接苗定植前5～7天开始炼苗，应加大通风、降低温度、减少水分、增加光照时间和强度。出苗前喷施1遍杀菌剂。病虫害防治按DB45/T 1969《甜瓜嫁接苗生产技术规程》的规定执行。</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5出圃</w:t>
      </w:r>
    </w:p>
    <w:p>
      <w:pPr>
        <w:pStyle w:val="21"/>
        <w:ind w:left="0" w:firstLine="560" w:firstLineChars="200"/>
        <w:rPr>
          <w:rFonts w:ascii="仿宋_GB2312" w:hAnsi="宋体" w:eastAsia="仿宋_GB2312"/>
          <w:kern w:val="2"/>
          <w:sz w:val="28"/>
          <w:szCs w:val="28"/>
        </w:rPr>
      </w:pPr>
      <w:r>
        <w:rPr>
          <w:rFonts w:hint="eastAsia" w:ascii="仿宋_GB2312" w:hAnsi="宋体" w:eastAsia="仿宋_GB2312"/>
          <w:kern w:val="2"/>
          <w:sz w:val="28"/>
          <w:szCs w:val="28"/>
        </w:rPr>
        <w:t>嫁接苗质量应符合无检疫性病害，植株健壮，嫁接部位愈合良好，有2～4片真叶，叶片宽、舒展，叶色浓绿、肥厚，无卷缩、病斑，无虫害，根坨成形，根系发达、须根多；未合格的小苗应挑出继续管理，合格后再出圃。</w:t>
      </w:r>
    </w:p>
    <w:p>
      <w:pPr>
        <w:pStyle w:val="14"/>
        <w:ind w:firstLine="560"/>
        <w:rPr>
          <w:rFonts w:ascii="仿宋_GB2312" w:hAnsi="宋体" w:eastAsia="仿宋_GB2312"/>
          <w:kern w:val="2"/>
          <w:sz w:val="28"/>
          <w:szCs w:val="28"/>
        </w:rPr>
      </w:pPr>
      <w:r>
        <w:rPr>
          <w:rFonts w:hint="eastAsia" w:ascii="仿宋_GB2312" w:hAnsi="宋体" w:eastAsia="仿宋_GB2312"/>
          <w:kern w:val="2"/>
          <w:sz w:val="28"/>
          <w:szCs w:val="28"/>
        </w:rPr>
        <w:t>检验采用随机抽样的方法，抽样数量见文本，检测指标包括形态指标、病虫害情况和机械损伤。单项指标不合格率≥5％，或综合指标不合格率≥20％，判定该批次为不合格。</w:t>
      </w:r>
    </w:p>
    <w:p>
      <w:pPr>
        <w:pStyle w:val="14"/>
        <w:ind w:firstLine="420"/>
      </w:pPr>
    </w:p>
    <w:p>
      <w:pPr>
        <w:ind w:firstLine="560" w:firstLineChars="200"/>
        <w:rPr>
          <w:rFonts w:ascii="仿宋_GB2312" w:hAnsi="宋体" w:eastAsia="仿宋_GB2312"/>
          <w:color w:val="FF0000"/>
          <w:sz w:val="28"/>
          <w:szCs w:val="28"/>
          <w:lang w:val="zh-CN"/>
        </w:rPr>
      </w:pPr>
    </w:p>
    <w:p>
      <w:pPr>
        <w:pStyle w:val="13"/>
        <w:numPr>
          <w:ilvl w:val="0"/>
          <w:numId w:val="0"/>
        </w:numPr>
        <w:adjustRightInd w:val="0"/>
        <w:snapToGrid w:val="0"/>
        <w:spacing w:beforeLines="50" w:line="360" w:lineRule="auto"/>
        <w:rPr>
          <w:rFonts w:hint="eastAsia" w:ascii="黑体" w:hAnsi="黑体" w:eastAsia="黑体" w:cs="黑体"/>
          <w:bCs/>
          <w:sz w:val="32"/>
          <w:szCs w:val="32"/>
          <w:lang w:val="zh-CN"/>
        </w:rPr>
      </w:pPr>
      <w:r>
        <w:rPr>
          <w:rFonts w:hint="eastAsia" w:ascii="黑体" w:hAnsi="黑体" w:eastAsia="黑体" w:cs="黑体"/>
          <w:bCs/>
          <w:sz w:val="32"/>
          <w:szCs w:val="32"/>
          <w:lang w:val="zh-CN"/>
        </w:rPr>
        <w:t>六、国内外同类标准制修订情况及与法律法规、强制性标准关系</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经查阅，国内与甜瓜集约化嫁接育苗技术有关的行业及地方标准有：DB45/T 196</w:t>
      </w:r>
      <w:r>
        <w:rPr>
          <w:rFonts w:hint="eastAsia" w:ascii="仿宋_GB2312" w:hAnsi="仿宋" w:eastAsia="仿宋_GB2312"/>
          <w:sz w:val="28"/>
          <w:szCs w:val="28"/>
          <w:lang w:val="zh-CN"/>
        </w:rPr>
        <w:t>9-2019《甜瓜嫁接苗生产技术规程》。以上标准主要介绍甜瓜通过顶插接法、靠接法</w:t>
      </w:r>
      <w:r>
        <w:rPr>
          <w:rFonts w:hint="eastAsia" w:ascii="仿宋_GB2312" w:hAnsi="仿宋" w:eastAsia="仿宋_GB2312" w:cs="宋体"/>
          <w:sz w:val="28"/>
          <w:szCs w:val="28"/>
          <w:lang w:val="zh-CN"/>
        </w:rPr>
        <w:t>等常规嫁接育苗方式，未涉及机械化操作，与</w:t>
      </w:r>
      <w:r>
        <w:rPr>
          <w:rFonts w:hint="eastAsia" w:ascii="仿宋_GB2312" w:hAnsi="仿宋" w:eastAsia="仿宋_GB2312"/>
          <w:sz w:val="28"/>
          <w:szCs w:val="28"/>
          <w:lang w:val="zh-CN"/>
        </w:rPr>
        <w:t>甜瓜集约化嫁接育苗</w:t>
      </w:r>
      <w:r>
        <w:rPr>
          <w:rFonts w:hint="eastAsia" w:ascii="仿宋_GB2312" w:hAnsi="宋体" w:eastAsia="仿宋_GB2312"/>
          <w:sz w:val="28"/>
          <w:szCs w:val="28"/>
          <w:lang w:val="zh-CN"/>
        </w:rPr>
        <w:t>存在较大差异，不能满足对</w:t>
      </w:r>
      <w:r>
        <w:rPr>
          <w:rFonts w:hint="eastAsia" w:ascii="仿宋_GB2312" w:hAnsi="仿宋" w:eastAsia="仿宋_GB2312"/>
          <w:sz w:val="28"/>
          <w:szCs w:val="28"/>
          <w:lang w:val="zh-CN"/>
        </w:rPr>
        <w:t>甜瓜集约化嫁接育苗技术</w:t>
      </w:r>
      <w:r>
        <w:rPr>
          <w:rFonts w:hint="eastAsia" w:ascii="仿宋_GB2312" w:hAnsi="宋体" w:eastAsia="仿宋_GB2312"/>
          <w:sz w:val="28"/>
          <w:szCs w:val="28"/>
          <w:lang w:val="zh-CN"/>
        </w:rPr>
        <w:t>的指导。</w:t>
      </w:r>
    </w:p>
    <w:p>
      <w:pPr>
        <w:ind w:firstLine="560" w:firstLineChars="200"/>
        <w:rPr>
          <w:rFonts w:ascii="仿宋_GB2312" w:hAnsi="宋体" w:eastAsia="仿宋_GB2312"/>
          <w:sz w:val="28"/>
          <w:szCs w:val="28"/>
        </w:rPr>
      </w:pPr>
      <w:r>
        <w:rPr>
          <w:rFonts w:hint="eastAsia" w:ascii="仿宋_GB2312" w:hAnsi="宋体" w:eastAsia="仿宋_GB2312"/>
          <w:sz w:val="28"/>
          <w:szCs w:val="28"/>
          <w:lang w:val="zh-CN"/>
        </w:rPr>
        <w:t>本标准的内容与现行的法律、法规及强制性标准无冲突，标准的编写符合</w:t>
      </w:r>
      <w:r>
        <w:rPr>
          <w:rFonts w:hint="eastAsia" w:ascii="仿宋_GB2312" w:hAnsi="宋体" w:eastAsia="仿宋_GB2312"/>
          <w:sz w:val="28"/>
          <w:szCs w:val="28"/>
        </w:rPr>
        <w:t>GB/T 1.1-2020的要求。</w:t>
      </w:r>
    </w:p>
    <w:p>
      <w:pPr>
        <w:pStyle w:val="13"/>
        <w:numPr>
          <w:ilvl w:val="0"/>
          <w:numId w:val="0"/>
        </w:numPr>
        <w:adjustRightInd w:val="0"/>
        <w:snapToGrid w:val="0"/>
        <w:spacing w:beforeLines="50" w:line="360" w:lineRule="auto"/>
        <w:rPr>
          <w:rFonts w:hint="eastAsia" w:ascii="黑体" w:hAnsi="黑体" w:eastAsia="黑体" w:cs="黑体"/>
          <w:bCs/>
          <w:sz w:val="32"/>
          <w:szCs w:val="32"/>
          <w:lang w:val="zh-CN"/>
        </w:rPr>
      </w:pPr>
      <w:r>
        <w:rPr>
          <w:rFonts w:hint="eastAsia" w:ascii="黑体" w:hAnsi="黑体" w:eastAsia="黑体" w:cs="黑体"/>
          <w:bCs/>
          <w:sz w:val="32"/>
          <w:szCs w:val="32"/>
          <w:lang w:val="zh-CN"/>
        </w:rPr>
        <w:t>七、重大分歧意见发处理经过和依据</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本标准研制过程中无重大分歧意见。</w:t>
      </w:r>
    </w:p>
    <w:p>
      <w:pPr>
        <w:spacing w:line="520" w:lineRule="exact"/>
        <w:ind w:firstLine="560" w:firstLineChars="200"/>
        <w:rPr>
          <w:rFonts w:ascii="仿宋_GB2312" w:hAnsi="宋体" w:eastAsia="仿宋_GB2312"/>
          <w:sz w:val="28"/>
          <w:szCs w:val="28"/>
          <w:lang w:val="zh-CN"/>
        </w:rPr>
      </w:pPr>
    </w:p>
    <w:p>
      <w:pPr>
        <w:spacing w:line="520" w:lineRule="exact"/>
        <w:ind w:firstLine="560" w:firstLineChars="200"/>
        <w:rPr>
          <w:rFonts w:ascii="仿宋_GB2312" w:hAnsi="宋体" w:eastAsia="仿宋_GB2312"/>
          <w:sz w:val="28"/>
          <w:szCs w:val="28"/>
          <w:lang w:val="zh-CN"/>
        </w:rPr>
      </w:pPr>
    </w:p>
    <w:p>
      <w:pPr>
        <w:spacing w:line="520" w:lineRule="exact"/>
        <w:ind w:firstLine="560" w:firstLineChars="200"/>
        <w:outlineLvl w:val="0"/>
        <w:rPr>
          <w:rFonts w:ascii="仿宋_GB2312" w:hAnsi="宋体" w:eastAsia="仿宋_GB2312"/>
          <w:sz w:val="28"/>
          <w:szCs w:val="28"/>
          <w:lang w:val="zh-CN"/>
        </w:rPr>
      </w:pPr>
      <w:r>
        <w:rPr>
          <w:rFonts w:hint="eastAsia" w:ascii="仿宋_GB2312" w:hAnsi="宋体" w:eastAsia="仿宋_GB2312"/>
          <w:sz w:val="28"/>
          <w:szCs w:val="28"/>
          <w:lang w:val="zh-CN"/>
        </w:rPr>
        <w:t xml:space="preserve">                  团体标准 《甜瓜集约化嫁接育苗技术规程》</w:t>
      </w:r>
    </w:p>
    <w:p>
      <w:pPr>
        <w:spacing w:line="520" w:lineRule="exact"/>
        <w:ind w:firstLine="5180" w:firstLineChars="1850"/>
        <w:rPr>
          <w:rFonts w:ascii="仿宋_GB2312" w:hAnsi="宋体" w:eastAsia="仿宋_GB2312"/>
          <w:sz w:val="28"/>
          <w:szCs w:val="28"/>
          <w:lang w:val="zh-CN"/>
        </w:rPr>
      </w:pPr>
      <w:r>
        <w:rPr>
          <w:rFonts w:hint="eastAsia" w:ascii="仿宋_GB2312" w:hAnsi="宋体" w:eastAsia="仿宋_GB2312"/>
          <w:sz w:val="28"/>
          <w:szCs w:val="28"/>
          <w:lang w:val="zh-CN"/>
        </w:rPr>
        <w:t>标准编制小组</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lang w:val="zh-CN"/>
        </w:rPr>
        <w:t xml:space="preserve">                               </w:t>
      </w:r>
      <w:r>
        <w:rPr>
          <w:rFonts w:hint="eastAsia" w:ascii="仿宋_GB2312" w:hAnsi="宋体" w:eastAsia="仿宋_GB2312"/>
          <w:sz w:val="28"/>
          <w:szCs w:val="28"/>
        </w:rPr>
        <w:t>2021</w:t>
      </w:r>
      <w:r>
        <w:rPr>
          <w:rFonts w:hint="eastAsia" w:ascii="仿宋_GB2312" w:hAnsi="宋体" w:eastAsia="仿宋_GB2312"/>
          <w:sz w:val="28"/>
          <w:szCs w:val="28"/>
          <w:lang w:val="zh-CN"/>
        </w:rPr>
        <w:t>年</w:t>
      </w:r>
      <w:r>
        <w:rPr>
          <w:rFonts w:hint="eastAsia" w:ascii="仿宋_GB2312" w:hAnsi="宋体" w:eastAsia="仿宋_GB2312"/>
          <w:sz w:val="28"/>
          <w:szCs w:val="28"/>
          <w:lang w:val="en-US" w:eastAsia="zh-CN"/>
        </w:rPr>
        <w:t>3</w:t>
      </w:r>
      <w:r>
        <w:rPr>
          <w:rFonts w:hint="eastAsia" w:ascii="仿宋_GB2312" w:hAnsi="宋体" w:eastAsia="仿宋_GB2312"/>
          <w:sz w:val="28"/>
          <w:szCs w:val="28"/>
          <w:lang w:val="zh-CN"/>
        </w:rPr>
        <w:t>月</w:t>
      </w:r>
      <w:r>
        <w:rPr>
          <w:rFonts w:hint="eastAsia" w:ascii="仿宋_GB2312" w:hAnsi="宋体" w:eastAsia="仿宋_GB2312"/>
          <w:sz w:val="28"/>
          <w:szCs w:val="28"/>
          <w:lang w:val="en-US" w:eastAsia="zh-CN"/>
        </w:rPr>
        <w:t>25</w:t>
      </w:r>
      <w:r>
        <w:rPr>
          <w:rFonts w:hint="eastAsia" w:ascii="仿宋_GB2312" w:hAnsi="宋体" w:eastAsia="仿宋_GB2312"/>
          <w:sz w:val="28"/>
          <w:szCs w:val="28"/>
        </w:rPr>
        <w:t>日</w:t>
      </w:r>
    </w:p>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4174A8"/>
    <w:multiLevelType w:val="multilevel"/>
    <w:tmpl w:val="124174A8"/>
    <w:lvl w:ilvl="0" w:tentative="0">
      <w:start w:val="1"/>
      <w:numFmt w:val="japaneseCounting"/>
      <w:lvlText w:val="%1、"/>
      <w:lvlJc w:val="left"/>
      <w:pPr>
        <w:ind w:left="1224" w:hanging="720"/>
      </w:pPr>
      <w:rPr>
        <w:rFonts w:hint="default"/>
      </w:rPr>
    </w:lvl>
    <w:lvl w:ilvl="1" w:tentative="0">
      <w:start w:val="1"/>
      <w:numFmt w:val="lowerLetter"/>
      <w:lvlText w:val="%2)"/>
      <w:lvlJc w:val="left"/>
      <w:pPr>
        <w:ind w:left="1344" w:hanging="420"/>
      </w:pPr>
    </w:lvl>
    <w:lvl w:ilvl="2" w:tentative="0">
      <w:start w:val="1"/>
      <w:numFmt w:val="lowerRoman"/>
      <w:lvlText w:val="%3."/>
      <w:lvlJc w:val="right"/>
      <w:pPr>
        <w:ind w:left="1764" w:hanging="420"/>
      </w:pPr>
    </w:lvl>
    <w:lvl w:ilvl="3" w:tentative="0">
      <w:start w:val="1"/>
      <w:numFmt w:val="decimal"/>
      <w:lvlText w:val="%4."/>
      <w:lvlJc w:val="left"/>
      <w:pPr>
        <w:ind w:left="2184" w:hanging="420"/>
      </w:pPr>
    </w:lvl>
    <w:lvl w:ilvl="4" w:tentative="0">
      <w:start w:val="1"/>
      <w:numFmt w:val="lowerLetter"/>
      <w:lvlText w:val="%5)"/>
      <w:lvlJc w:val="left"/>
      <w:pPr>
        <w:ind w:left="2604" w:hanging="420"/>
      </w:pPr>
    </w:lvl>
    <w:lvl w:ilvl="5" w:tentative="0">
      <w:start w:val="1"/>
      <w:numFmt w:val="lowerRoman"/>
      <w:lvlText w:val="%6."/>
      <w:lvlJc w:val="right"/>
      <w:pPr>
        <w:ind w:left="3024" w:hanging="420"/>
      </w:pPr>
    </w:lvl>
    <w:lvl w:ilvl="6" w:tentative="0">
      <w:start w:val="1"/>
      <w:numFmt w:val="decimal"/>
      <w:lvlText w:val="%7."/>
      <w:lvlJc w:val="left"/>
      <w:pPr>
        <w:ind w:left="3444" w:hanging="420"/>
      </w:pPr>
    </w:lvl>
    <w:lvl w:ilvl="7" w:tentative="0">
      <w:start w:val="1"/>
      <w:numFmt w:val="lowerLetter"/>
      <w:lvlText w:val="%8)"/>
      <w:lvlJc w:val="left"/>
      <w:pPr>
        <w:ind w:left="3864" w:hanging="420"/>
      </w:pPr>
    </w:lvl>
    <w:lvl w:ilvl="8" w:tentative="0">
      <w:start w:val="1"/>
      <w:numFmt w:val="lowerRoman"/>
      <w:lvlText w:val="%9."/>
      <w:lvlJc w:val="right"/>
      <w:pPr>
        <w:ind w:left="4284" w:hanging="42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0494293"/>
    <w:multiLevelType w:val="multilevel"/>
    <w:tmpl w:val="20494293"/>
    <w:lvl w:ilvl="0" w:tentative="0">
      <w:start w:val="5"/>
      <w:numFmt w:val="japaneseCounting"/>
      <w:lvlText w:val="%1、"/>
      <w:lvlJc w:val="left"/>
      <w:pPr>
        <w:ind w:left="1225" w:hanging="720"/>
      </w:pPr>
      <w:rPr>
        <w:rFonts w:hint="default"/>
      </w:rPr>
    </w:lvl>
    <w:lvl w:ilvl="1" w:tentative="0">
      <w:start w:val="1"/>
      <w:numFmt w:val="lowerLetter"/>
      <w:lvlText w:val="%2)"/>
      <w:lvlJc w:val="left"/>
      <w:pPr>
        <w:ind w:left="1345" w:hanging="420"/>
      </w:pPr>
    </w:lvl>
    <w:lvl w:ilvl="2" w:tentative="0">
      <w:start w:val="1"/>
      <w:numFmt w:val="lowerRoman"/>
      <w:lvlText w:val="%3."/>
      <w:lvlJc w:val="right"/>
      <w:pPr>
        <w:ind w:left="1765" w:hanging="420"/>
      </w:pPr>
    </w:lvl>
    <w:lvl w:ilvl="3" w:tentative="0">
      <w:start w:val="1"/>
      <w:numFmt w:val="decimal"/>
      <w:lvlText w:val="%4."/>
      <w:lvlJc w:val="left"/>
      <w:pPr>
        <w:ind w:left="2185" w:hanging="420"/>
      </w:pPr>
    </w:lvl>
    <w:lvl w:ilvl="4" w:tentative="0">
      <w:start w:val="1"/>
      <w:numFmt w:val="lowerLetter"/>
      <w:lvlText w:val="%5)"/>
      <w:lvlJc w:val="left"/>
      <w:pPr>
        <w:ind w:left="2605" w:hanging="420"/>
      </w:pPr>
    </w:lvl>
    <w:lvl w:ilvl="5" w:tentative="0">
      <w:start w:val="1"/>
      <w:numFmt w:val="lowerRoman"/>
      <w:lvlText w:val="%6."/>
      <w:lvlJc w:val="right"/>
      <w:pPr>
        <w:ind w:left="3025" w:hanging="420"/>
      </w:pPr>
    </w:lvl>
    <w:lvl w:ilvl="6" w:tentative="0">
      <w:start w:val="1"/>
      <w:numFmt w:val="decimal"/>
      <w:lvlText w:val="%7."/>
      <w:lvlJc w:val="left"/>
      <w:pPr>
        <w:ind w:left="3445" w:hanging="420"/>
      </w:pPr>
    </w:lvl>
    <w:lvl w:ilvl="7" w:tentative="0">
      <w:start w:val="1"/>
      <w:numFmt w:val="lowerLetter"/>
      <w:lvlText w:val="%8)"/>
      <w:lvlJc w:val="left"/>
      <w:pPr>
        <w:ind w:left="3865" w:hanging="420"/>
      </w:pPr>
    </w:lvl>
    <w:lvl w:ilvl="8" w:tentative="0">
      <w:start w:val="1"/>
      <w:numFmt w:val="lowerRoman"/>
      <w:lvlText w:val="%9."/>
      <w:lvlJc w:val="right"/>
      <w:pPr>
        <w:ind w:left="4285" w:hanging="420"/>
      </w:pPr>
    </w:lvl>
  </w:abstractNum>
  <w:abstractNum w:abstractNumId="3">
    <w:nsid w:val="6CEA2025"/>
    <w:multiLevelType w:val="multilevel"/>
    <w:tmpl w:val="6CEA2025"/>
    <w:lvl w:ilvl="0" w:tentative="0">
      <w:start w:val="1"/>
      <w:numFmt w:val="none"/>
      <w:pStyle w:val="29"/>
      <w:suff w:val="nothing"/>
      <w:lvlText w:val="%1"/>
      <w:lvlJc w:val="left"/>
      <w:pPr>
        <w:ind w:left="0" w:firstLine="0"/>
      </w:pPr>
      <w:rPr>
        <w:rFonts w:hint="eastAsia"/>
      </w:rPr>
    </w:lvl>
    <w:lvl w:ilvl="1" w:tentative="0">
      <w:start w:val="1"/>
      <w:numFmt w:val="decimal"/>
      <w:pStyle w:val="27"/>
      <w:suff w:val="nothing"/>
      <w:lvlText w:val="%1%2　"/>
      <w:lvlJc w:val="left"/>
      <w:pPr>
        <w:ind w:left="0" w:firstLine="0"/>
      </w:pPr>
      <w:rPr>
        <w:rFonts w:hint="eastAsia" w:ascii="黑体" w:eastAsia="黑体"/>
        <w:b w:val="0"/>
        <w:i w:val="0"/>
        <w:sz w:val="21"/>
      </w:rPr>
    </w:lvl>
    <w:lvl w:ilvl="2" w:tentative="0">
      <w:start w:val="1"/>
      <w:numFmt w:val="decimal"/>
      <w:pStyle w:val="28"/>
      <w:suff w:val="nothing"/>
      <w:lvlText w:val="%1%2.%3　"/>
      <w:lvlJc w:val="left"/>
      <w:pPr>
        <w:ind w:left="56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3"/>
      <w:suff w:val="nothing"/>
      <w:lvlText w:val="%1%2.%3.%4　"/>
      <w:lvlJc w:val="left"/>
      <w:pPr>
        <w:ind w:left="0" w:firstLine="0"/>
      </w:pPr>
      <w:rPr>
        <w:rFonts w:hint="eastAsia" w:ascii="黑体" w:eastAsia="黑体"/>
        <w:b w:val="0"/>
        <w:i w:val="0"/>
        <w:sz w:val="21"/>
      </w:rPr>
    </w:lvl>
    <w:lvl w:ilvl="4" w:tentative="0">
      <w:start w:val="1"/>
      <w:numFmt w:val="decimal"/>
      <w:pStyle w:val="24"/>
      <w:suff w:val="nothing"/>
      <w:lvlText w:val="%1%2.%3.%4.%5　"/>
      <w:lvlJc w:val="left"/>
      <w:pPr>
        <w:ind w:left="0" w:firstLine="0"/>
      </w:pPr>
      <w:rPr>
        <w:rFonts w:hint="eastAsia" w:ascii="黑体" w:eastAsia="黑体"/>
        <w:b w:val="0"/>
        <w:i w:val="0"/>
        <w:sz w:val="21"/>
      </w:rPr>
    </w:lvl>
    <w:lvl w:ilvl="5" w:tentative="0">
      <w:start w:val="1"/>
      <w:numFmt w:val="decimal"/>
      <w:pStyle w:val="25"/>
      <w:suff w:val="nothing"/>
      <w:lvlText w:val="%1%2.%3.%4.%5.%6　"/>
      <w:lvlJc w:val="left"/>
      <w:pPr>
        <w:ind w:left="0" w:firstLine="0"/>
      </w:pPr>
      <w:rPr>
        <w:rFonts w:hint="eastAsia" w:ascii="黑体" w:eastAsia="黑体"/>
        <w:b w:val="0"/>
        <w:i w:val="0"/>
        <w:sz w:val="21"/>
      </w:rPr>
    </w:lvl>
    <w:lvl w:ilvl="6" w:tentative="0">
      <w:start w:val="1"/>
      <w:numFmt w:val="decimal"/>
      <w:pStyle w:val="2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7C13286C"/>
    <w:multiLevelType w:val="multilevel"/>
    <w:tmpl w:val="7C13286C"/>
    <w:lvl w:ilvl="0" w:tentative="0">
      <w:start w:val="1"/>
      <w:numFmt w:val="decimal"/>
      <w:lvlText w:val="（%1）"/>
      <w:lvlJc w:val="left"/>
      <w:pPr>
        <w:ind w:left="1256" w:hanging="750"/>
      </w:pPr>
      <w:rPr>
        <w:rFonts w:hint="default"/>
      </w:rPr>
    </w:lvl>
    <w:lvl w:ilvl="1" w:tentative="0">
      <w:start w:val="1"/>
      <w:numFmt w:val="lowerLetter"/>
      <w:lvlText w:val="%2)"/>
      <w:lvlJc w:val="left"/>
      <w:pPr>
        <w:ind w:left="1346" w:hanging="420"/>
      </w:pPr>
    </w:lvl>
    <w:lvl w:ilvl="2" w:tentative="0">
      <w:start w:val="1"/>
      <w:numFmt w:val="lowerRoman"/>
      <w:lvlText w:val="%3."/>
      <w:lvlJc w:val="right"/>
      <w:pPr>
        <w:ind w:left="1766" w:hanging="420"/>
      </w:pPr>
    </w:lvl>
    <w:lvl w:ilvl="3" w:tentative="0">
      <w:start w:val="1"/>
      <w:numFmt w:val="decimal"/>
      <w:lvlText w:val="%4."/>
      <w:lvlJc w:val="left"/>
      <w:pPr>
        <w:ind w:left="2186" w:hanging="420"/>
      </w:pPr>
    </w:lvl>
    <w:lvl w:ilvl="4" w:tentative="0">
      <w:start w:val="1"/>
      <w:numFmt w:val="lowerLetter"/>
      <w:lvlText w:val="%5)"/>
      <w:lvlJc w:val="left"/>
      <w:pPr>
        <w:ind w:left="2606" w:hanging="420"/>
      </w:pPr>
    </w:lvl>
    <w:lvl w:ilvl="5" w:tentative="0">
      <w:start w:val="1"/>
      <w:numFmt w:val="lowerRoman"/>
      <w:lvlText w:val="%6."/>
      <w:lvlJc w:val="right"/>
      <w:pPr>
        <w:ind w:left="3026" w:hanging="420"/>
      </w:pPr>
    </w:lvl>
    <w:lvl w:ilvl="6" w:tentative="0">
      <w:start w:val="1"/>
      <w:numFmt w:val="decimal"/>
      <w:lvlText w:val="%7."/>
      <w:lvlJc w:val="left"/>
      <w:pPr>
        <w:ind w:left="3446" w:hanging="420"/>
      </w:pPr>
    </w:lvl>
    <w:lvl w:ilvl="7" w:tentative="0">
      <w:start w:val="1"/>
      <w:numFmt w:val="lowerLetter"/>
      <w:lvlText w:val="%8)"/>
      <w:lvlJc w:val="left"/>
      <w:pPr>
        <w:ind w:left="3866" w:hanging="420"/>
      </w:pPr>
    </w:lvl>
    <w:lvl w:ilvl="8" w:tentative="0">
      <w:start w:val="1"/>
      <w:numFmt w:val="lowerRoman"/>
      <w:lvlText w:val="%9."/>
      <w:lvlJc w:val="right"/>
      <w:pPr>
        <w:ind w:left="4286" w:hanging="42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F40A7A"/>
    <w:rsid w:val="00007A3B"/>
    <w:rsid w:val="000512D3"/>
    <w:rsid w:val="00072E8D"/>
    <w:rsid w:val="000909BA"/>
    <w:rsid w:val="000A377D"/>
    <w:rsid w:val="000B6C8F"/>
    <w:rsid w:val="000C482C"/>
    <w:rsid w:val="000D4AA2"/>
    <w:rsid w:val="000E1F56"/>
    <w:rsid w:val="00110BAE"/>
    <w:rsid w:val="001117EC"/>
    <w:rsid w:val="001269A9"/>
    <w:rsid w:val="00127599"/>
    <w:rsid w:val="00154FE7"/>
    <w:rsid w:val="00184B6E"/>
    <w:rsid w:val="001B19EF"/>
    <w:rsid w:val="001B3206"/>
    <w:rsid w:val="001D20FE"/>
    <w:rsid w:val="001E22DF"/>
    <w:rsid w:val="00210294"/>
    <w:rsid w:val="00216C5F"/>
    <w:rsid w:val="002172C1"/>
    <w:rsid w:val="00224154"/>
    <w:rsid w:val="00246862"/>
    <w:rsid w:val="00264D12"/>
    <w:rsid w:val="00266580"/>
    <w:rsid w:val="002978BA"/>
    <w:rsid w:val="002D1464"/>
    <w:rsid w:val="003044D2"/>
    <w:rsid w:val="003114F8"/>
    <w:rsid w:val="00330246"/>
    <w:rsid w:val="00344DCA"/>
    <w:rsid w:val="00361BA1"/>
    <w:rsid w:val="00364D16"/>
    <w:rsid w:val="0039281A"/>
    <w:rsid w:val="003C1FC4"/>
    <w:rsid w:val="003C75FC"/>
    <w:rsid w:val="003D4CDC"/>
    <w:rsid w:val="003D6AFB"/>
    <w:rsid w:val="003E3A46"/>
    <w:rsid w:val="003E48EE"/>
    <w:rsid w:val="00401A7C"/>
    <w:rsid w:val="00404703"/>
    <w:rsid w:val="00433889"/>
    <w:rsid w:val="00466A67"/>
    <w:rsid w:val="004711AC"/>
    <w:rsid w:val="0047343A"/>
    <w:rsid w:val="0047742F"/>
    <w:rsid w:val="0048798C"/>
    <w:rsid w:val="004A1B2C"/>
    <w:rsid w:val="004B0105"/>
    <w:rsid w:val="004B216E"/>
    <w:rsid w:val="004C7DEA"/>
    <w:rsid w:val="00505174"/>
    <w:rsid w:val="00520A41"/>
    <w:rsid w:val="00525F33"/>
    <w:rsid w:val="005353A9"/>
    <w:rsid w:val="0055275D"/>
    <w:rsid w:val="0056042A"/>
    <w:rsid w:val="00563C12"/>
    <w:rsid w:val="005968B3"/>
    <w:rsid w:val="005B1C23"/>
    <w:rsid w:val="005B6BA9"/>
    <w:rsid w:val="005E5B46"/>
    <w:rsid w:val="005F1941"/>
    <w:rsid w:val="00611246"/>
    <w:rsid w:val="006145BC"/>
    <w:rsid w:val="00634B08"/>
    <w:rsid w:val="006722D3"/>
    <w:rsid w:val="00692D7C"/>
    <w:rsid w:val="006A5B11"/>
    <w:rsid w:val="006B7A71"/>
    <w:rsid w:val="006C5402"/>
    <w:rsid w:val="006C5938"/>
    <w:rsid w:val="006D4B19"/>
    <w:rsid w:val="006D68DB"/>
    <w:rsid w:val="006E7197"/>
    <w:rsid w:val="006F7C28"/>
    <w:rsid w:val="00706406"/>
    <w:rsid w:val="0070740B"/>
    <w:rsid w:val="00721EE2"/>
    <w:rsid w:val="007A5579"/>
    <w:rsid w:val="007A5904"/>
    <w:rsid w:val="007D7D20"/>
    <w:rsid w:val="007F37EE"/>
    <w:rsid w:val="007F78F7"/>
    <w:rsid w:val="00800EA9"/>
    <w:rsid w:val="00803B2B"/>
    <w:rsid w:val="00812919"/>
    <w:rsid w:val="008152BA"/>
    <w:rsid w:val="0085556B"/>
    <w:rsid w:val="008726C2"/>
    <w:rsid w:val="0087790B"/>
    <w:rsid w:val="00893ACB"/>
    <w:rsid w:val="008A532F"/>
    <w:rsid w:val="008A612D"/>
    <w:rsid w:val="008D5C0F"/>
    <w:rsid w:val="00900CB9"/>
    <w:rsid w:val="00906AA1"/>
    <w:rsid w:val="00932177"/>
    <w:rsid w:val="009332A7"/>
    <w:rsid w:val="00940E4F"/>
    <w:rsid w:val="009630F8"/>
    <w:rsid w:val="00982776"/>
    <w:rsid w:val="00982B8F"/>
    <w:rsid w:val="00987678"/>
    <w:rsid w:val="009916B1"/>
    <w:rsid w:val="009B0913"/>
    <w:rsid w:val="009B75B2"/>
    <w:rsid w:val="009C564A"/>
    <w:rsid w:val="009E1582"/>
    <w:rsid w:val="009F24CB"/>
    <w:rsid w:val="00A259E3"/>
    <w:rsid w:val="00A27B98"/>
    <w:rsid w:val="00A32C7C"/>
    <w:rsid w:val="00A66208"/>
    <w:rsid w:val="00A800BA"/>
    <w:rsid w:val="00A90F2C"/>
    <w:rsid w:val="00A96D05"/>
    <w:rsid w:val="00AB3600"/>
    <w:rsid w:val="00AC426F"/>
    <w:rsid w:val="00AE25AA"/>
    <w:rsid w:val="00AF1FCA"/>
    <w:rsid w:val="00AF6E67"/>
    <w:rsid w:val="00B12A71"/>
    <w:rsid w:val="00B21761"/>
    <w:rsid w:val="00B2687B"/>
    <w:rsid w:val="00B31C41"/>
    <w:rsid w:val="00B93639"/>
    <w:rsid w:val="00BA5404"/>
    <w:rsid w:val="00BB5DDA"/>
    <w:rsid w:val="00BD4DFD"/>
    <w:rsid w:val="00BF1961"/>
    <w:rsid w:val="00C61BCC"/>
    <w:rsid w:val="00C827F8"/>
    <w:rsid w:val="00C924CC"/>
    <w:rsid w:val="00CA41A5"/>
    <w:rsid w:val="00CA5B30"/>
    <w:rsid w:val="00CA787E"/>
    <w:rsid w:val="00CC4D3B"/>
    <w:rsid w:val="00CD4D3D"/>
    <w:rsid w:val="00CD7CAC"/>
    <w:rsid w:val="00D063E1"/>
    <w:rsid w:val="00D441ED"/>
    <w:rsid w:val="00D5295D"/>
    <w:rsid w:val="00D802E2"/>
    <w:rsid w:val="00D8255C"/>
    <w:rsid w:val="00D82811"/>
    <w:rsid w:val="00D8739D"/>
    <w:rsid w:val="00DB220F"/>
    <w:rsid w:val="00DC1721"/>
    <w:rsid w:val="00DD0F41"/>
    <w:rsid w:val="00DD25DA"/>
    <w:rsid w:val="00DD5331"/>
    <w:rsid w:val="00DF671D"/>
    <w:rsid w:val="00E05E3A"/>
    <w:rsid w:val="00E10161"/>
    <w:rsid w:val="00E220F4"/>
    <w:rsid w:val="00E41663"/>
    <w:rsid w:val="00E43B41"/>
    <w:rsid w:val="00E60ABF"/>
    <w:rsid w:val="00E933D9"/>
    <w:rsid w:val="00E953C2"/>
    <w:rsid w:val="00EA3C77"/>
    <w:rsid w:val="00EC0B95"/>
    <w:rsid w:val="00EC60DA"/>
    <w:rsid w:val="00EC65F7"/>
    <w:rsid w:val="00EE7D8E"/>
    <w:rsid w:val="00EF0605"/>
    <w:rsid w:val="00EF2897"/>
    <w:rsid w:val="00EF4A65"/>
    <w:rsid w:val="00F22D23"/>
    <w:rsid w:val="00F340BE"/>
    <w:rsid w:val="00F6264F"/>
    <w:rsid w:val="00F909A0"/>
    <w:rsid w:val="00FB142D"/>
    <w:rsid w:val="00FF28D7"/>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330CE5"/>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7473FAC"/>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9"/>
    <w:uiPriority w:val="0"/>
    <w:rPr>
      <w:rFonts w:ascii="宋体"/>
      <w:sz w:val="18"/>
      <w:szCs w:val="18"/>
    </w:rPr>
  </w:style>
  <w:style w:type="paragraph" w:styleId="4">
    <w:name w:val="Balloon Text"/>
    <w:basedOn w:val="1"/>
    <w:link w:val="18"/>
    <w:qFormat/>
    <w:uiPriority w:val="0"/>
    <w:rPr>
      <w:sz w:val="18"/>
      <w:szCs w:val="18"/>
    </w:rPr>
  </w:style>
  <w:style w:type="paragraph" w:styleId="5">
    <w:name w:val="footer"/>
    <w:basedOn w:val="1"/>
    <w:link w:val="17"/>
    <w:qFormat/>
    <w:uiPriority w:val="0"/>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2"/>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unhideWhenUsed/>
    <w:uiPriority w:val="99"/>
    <w:pPr>
      <w:widowControl/>
      <w:spacing w:before="100" w:beforeAutospacing="1" w:after="100" w:afterAutospacing="1"/>
      <w:jc w:val="left"/>
    </w:pPr>
    <w:rPr>
      <w:rFonts w:ascii="宋体" w:hAnsi="宋体" w:cs="宋体"/>
      <w:kern w:val="0"/>
      <w:sz w:val="24"/>
    </w:rPr>
  </w:style>
  <w:style w:type="table" w:styleId="10">
    <w:name w:val="Table Grid"/>
    <w:basedOn w:val="9"/>
    <w:unhideWhenUsed/>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paragraph" w:styleId="13">
    <w:name w:val="List Paragraph"/>
    <w:basedOn w:val="1"/>
    <w:qFormat/>
    <w:uiPriority w:val="0"/>
    <w:pPr>
      <w:ind w:firstLine="420" w:firstLineChars="200"/>
    </w:pPr>
    <w:rPr>
      <w:szCs w:val="22"/>
    </w:rPr>
  </w:style>
  <w:style w:type="paragraph" w:customStyle="1" w:styleId="14">
    <w:name w:val="标准文件_段"/>
    <w:link w:val="1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5">
    <w:name w:val="标准文件_段 Char"/>
    <w:link w:val="14"/>
    <w:qFormat/>
    <w:uiPriority w:val="0"/>
    <w:rPr>
      <w:rFonts w:ascii="宋体"/>
      <w:sz w:val="21"/>
    </w:rPr>
  </w:style>
  <w:style w:type="character" w:customStyle="1" w:styleId="16">
    <w:name w:val="页眉 Char"/>
    <w:basedOn w:val="11"/>
    <w:link w:val="6"/>
    <w:qFormat/>
    <w:uiPriority w:val="0"/>
    <w:rPr>
      <w:rFonts w:ascii="Times New Roman" w:hAnsi="Times New Roman"/>
      <w:kern w:val="2"/>
      <w:sz w:val="18"/>
      <w:szCs w:val="18"/>
    </w:rPr>
  </w:style>
  <w:style w:type="character" w:customStyle="1" w:styleId="17">
    <w:name w:val="页脚 Char"/>
    <w:basedOn w:val="11"/>
    <w:link w:val="5"/>
    <w:qFormat/>
    <w:uiPriority w:val="0"/>
    <w:rPr>
      <w:rFonts w:ascii="Times New Roman" w:hAnsi="Times New Roman"/>
      <w:kern w:val="2"/>
      <w:sz w:val="18"/>
      <w:szCs w:val="18"/>
    </w:rPr>
  </w:style>
  <w:style w:type="character" w:customStyle="1" w:styleId="18">
    <w:name w:val="批注框文本 Char"/>
    <w:basedOn w:val="11"/>
    <w:link w:val="4"/>
    <w:qFormat/>
    <w:uiPriority w:val="0"/>
    <w:rPr>
      <w:rFonts w:ascii="Times New Roman" w:hAnsi="Times New Roman"/>
      <w:kern w:val="2"/>
      <w:sz w:val="18"/>
      <w:szCs w:val="18"/>
    </w:rPr>
  </w:style>
  <w:style w:type="character" w:customStyle="1" w:styleId="19">
    <w:name w:val="文档结构图 Char"/>
    <w:basedOn w:val="11"/>
    <w:link w:val="3"/>
    <w:uiPriority w:val="0"/>
    <w:rPr>
      <w:rFonts w:ascii="宋体"/>
      <w:kern w:val="2"/>
      <w:sz w:val="18"/>
      <w:szCs w:val="18"/>
    </w:rPr>
  </w:style>
  <w:style w:type="paragraph" w:customStyle="1" w:styleId="20">
    <w:name w:val="标准文件_术语条一"/>
    <w:basedOn w:val="1"/>
    <w:next w:val="14"/>
    <w:qFormat/>
    <w:uiPriority w:val="0"/>
    <w:pPr>
      <w:widowControl/>
    </w:pPr>
    <w:rPr>
      <w:rFonts w:ascii="宋体"/>
      <w:kern w:val="0"/>
      <w:szCs w:val="20"/>
    </w:rPr>
  </w:style>
  <w:style w:type="paragraph" w:customStyle="1" w:styleId="21">
    <w:name w:val="列项——（一级）"/>
    <w:uiPriority w:val="0"/>
    <w:pPr>
      <w:widowControl w:val="0"/>
      <w:ind w:left="504" w:hanging="504"/>
      <w:jc w:val="both"/>
    </w:pPr>
    <w:rPr>
      <w:rFonts w:ascii="宋体" w:hAnsi="Times New Roman" w:eastAsia="宋体" w:cs="Times New Roman"/>
      <w:sz w:val="21"/>
      <w:lang w:val="en-US" w:eastAsia="zh-CN" w:bidi="ar-SA"/>
    </w:rPr>
  </w:style>
  <w:style w:type="character" w:customStyle="1" w:styleId="22">
    <w:name w:val="HTML 预设格式 Char"/>
    <w:basedOn w:val="11"/>
    <w:link w:val="7"/>
    <w:uiPriority w:val="99"/>
    <w:rPr>
      <w:rFonts w:ascii="宋体" w:hAnsi="宋体" w:cs="宋体"/>
      <w:sz w:val="24"/>
      <w:szCs w:val="24"/>
    </w:rPr>
  </w:style>
  <w:style w:type="paragraph" w:customStyle="1" w:styleId="23">
    <w:name w:val="标准文件_二级条标题"/>
    <w:next w:val="14"/>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4">
    <w:name w:val="标准文件_三级条标题"/>
    <w:basedOn w:val="23"/>
    <w:next w:val="14"/>
    <w:qFormat/>
    <w:uiPriority w:val="0"/>
    <w:pPr>
      <w:widowControl/>
      <w:numPr>
        <w:ilvl w:val="4"/>
      </w:numPr>
      <w:outlineLvl w:val="3"/>
    </w:pPr>
  </w:style>
  <w:style w:type="paragraph" w:customStyle="1" w:styleId="25">
    <w:name w:val="标准文件_四级条标题"/>
    <w:next w:val="14"/>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6">
    <w:name w:val="标准文件_五级条标题"/>
    <w:next w:val="14"/>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7">
    <w:name w:val="标准文件_章标题"/>
    <w:next w:val="14"/>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8">
    <w:name w:val="标准文件_一级条标题"/>
    <w:basedOn w:val="27"/>
    <w:next w:val="14"/>
    <w:qFormat/>
    <w:uiPriority w:val="0"/>
    <w:pPr>
      <w:numPr>
        <w:ilvl w:val="2"/>
      </w:numPr>
      <w:spacing w:beforeLines="50" w:afterLines="50"/>
      <w:ind w:left="0"/>
      <w:outlineLvl w:val="1"/>
    </w:pPr>
  </w:style>
  <w:style w:type="paragraph" w:customStyle="1" w:styleId="29">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0">
    <w:name w:val="标准文件_三级无标题"/>
    <w:basedOn w:val="24"/>
    <w:qFormat/>
    <w:uiPriority w:val="0"/>
    <w:pPr>
      <w:spacing w:beforeLines="0" w:afterLines="0"/>
      <w:outlineLvl w:val="9"/>
    </w:pPr>
    <w:rPr>
      <w:rFonts w:ascii="宋体" w:eastAsia="宋体"/>
    </w:rPr>
  </w:style>
  <w:style w:type="character" w:customStyle="1" w:styleId="31">
    <w:name w:val="一级条标题 Char"/>
    <w:link w:val="32"/>
    <w:uiPriority w:val="0"/>
    <w:rPr>
      <w:rFonts w:ascii="黑体" w:eastAsia="黑体"/>
      <w:sz w:val="21"/>
      <w:szCs w:val="21"/>
    </w:rPr>
  </w:style>
  <w:style w:type="paragraph" w:customStyle="1" w:styleId="32">
    <w:name w:val="一级条标题"/>
    <w:next w:val="1"/>
    <w:link w:val="3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character" w:customStyle="1" w:styleId="33">
    <w:name w:val="二级条标题 Char"/>
    <w:link w:val="34"/>
    <w:qFormat/>
    <w:uiPriority w:val="0"/>
    <w:rPr>
      <w:rFonts w:ascii="黑体" w:eastAsia="黑体"/>
      <w:sz w:val="21"/>
      <w:szCs w:val="21"/>
    </w:rPr>
  </w:style>
  <w:style w:type="paragraph" w:customStyle="1" w:styleId="34">
    <w:name w:val="二级条标题"/>
    <w:basedOn w:val="32"/>
    <w:next w:val="1"/>
    <w:link w:val="33"/>
    <w:qFormat/>
    <w:uiPriority w:val="0"/>
    <w:pPr>
      <w:numPr>
        <w:ilvl w:val="2"/>
      </w:numPr>
      <w:spacing w:before="50" w:after="50"/>
      <w:outlineLvl w:val="3"/>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832</Words>
  <Characters>4749</Characters>
  <Lines>39</Lines>
  <Paragraphs>11</Paragraphs>
  <TotalTime>734</TotalTime>
  <ScaleCrop>false</ScaleCrop>
  <LinksUpToDate>false</LinksUpToDate>
  <CharactersWithSpaces>5570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酒满</cp:lastModifiedBy>
  <dcterms:modified xsi:type="dcterms:W3CDTF">2021-04-13T08:39:55Z</dcterms:modified>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1A9C69A2151B47C1A4C7E14563A59E54</vt:lpwstr>
  </property>
</Properties>
</file>